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jc w:val="center"/>
        <w:rPr>
          <w:b/>
          <w:bCs/>
          <w:sz w:val="48"/>
          <w:szCs w:val="48"/>
        </w:rPr>
      </w:pPr>
    </w:p>
    <w:p>
      <w:pPr>
        <w:ind w:firstLine="964"/>
        <w:jc w:val="center"/>
        <w:rPr>
          <w:b/>
          <w:bCs/>
          <w:sz w:val="48"/>
          <w:szCs w:val="48"/>
        </w:rPr>
      </w:pPr>
    </w:p>
    <w:p>
      <w:pPr>
        <w:ind w:firstLine="964"/>
        <w:jc w:val="center"/>
        <w:rPr>
          <w:b/>
          <w:bCs/>
          <w:sz w:val="48"/>
          <w:szCs w:val="48"/>
        </w:rPr>
      </w:pPr>
    </w:p>
    <w:p>
      <w:pPr>
        <w:ind w:firstLine="964"/>
        <w:jc w:val="center"/>
        <w:rPr>
          <w:b/>
          <w:bCs/>
          <w:sz w:val="48"/>
          <w:szCs w:val="48"/>
        </w:rPr>
      </w:pPr>
    </w:p>
    <w:p>
      <w:pPr>
        <w:ind w:firstLine="0" w:firstLineChars="0"/>
        <w:jc w:val="center"/>
        <w:rPr>
          <w:b/>
          <w:bCs/>
          <w:sz w:val="48"/>
          <w:szCs w:val="48"/>
        </w:rPr>
      </w:pPr>
      <w:bookmarkStart w:id="0" w:name="_Toc8687"/>
      <w:bookmarkStart w:id="1" w:name="_Toc12144"/>
      <w:bookmarkStart w:id="2" w:name="_Toc14691"/>
      <w:bookmarkStart w:id="3" w:name="_Toc21570"/>
      <w:bookmarkStart w:id="4" w:name="_Toc8898"/>
      <w:r>
        <w:rPr>
          <w:rFonts w:hint="eastAsia"/>
          <w:b/>
          <w:bCs/>
          <w:sz w:val="48"/>
          <w:szCs w:val="48"/>
        </w:rPr>
        <w:t>呼和浩特市玉泉区</w:t>
      </w:r>
      <w:bookmarkEnd w:id="0"/>
      <w:bookmarkEnd w:id="1"/>
      <w:bookmarkEnd w:id="2"/>
      <w:bookmarkEnd w:id="3"/>
      <w:bookmarkEnd w:id="4"/>
    </w:p>
    <w:p>
      <w:pPr>
        <w:ind w:firstLine="0" w:firstLineChars="0"/>
        <w:jc w:val="center"/>
      </w:pPr>
      <w:r>
        <w:rPr>
          <w:rFonts w:hint="eastAsia"/>
          <w:b/>
          <w:bCs/>
          <w:sz w:val="48"/>
          <w:szCs w:val="48"/>
        </w:rPr>
        <w:t>森林火灾应急预案</w:t>
      </w:r>
    </w:p>
    <w:p>
      <w:pPr>
        <w:ind w:firstLine="640"/>
      </w:pPr>
      <w:bookmarkStart w:id="5" w:name="_Toc18664"/>
      <w:bookmarkStart w:id="6" w:name="_Toc28079"/>
      <w:bookmarkStart w:id="7" w:name="_Toc156"/>
      <w:bookmarkStart w:id="8" w:name="_Toc32698"/>
      <w:bookmarkStart w:id="9" w:name="_Toc5535"/>
      <w:bookmarkStart w:id="10" w:name="_Toc4818"/>
      <w:bookmarkStart w:id="11" w:name="_Toc13189"/>
      <w:bookmarkStart w:id="12" w:name="_Toc13007"/>
      <w:bookmarkStart w:id="13" w:name="_Toc859"/>
      <w:bookmarkStart w:id="14" w:name="_Toc19579"/>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pStyle w:val="25"/>
        <w:ind w:firstLine="560"/>
        <w:rPr>
          <w:lang w:eastAsia="zh-CN"/>
        </w:rPr>
      </w:pPr>
    </w:p>
    <w:p>
      <w:pPr>
        <w:ind w:firstLine="640"/>
      </w:pPr>
    </w:p>
    <w:p>
      <w:pPr>
        <w:spacing w:line="240" w:lineRule="auto"/>
        <w:ind w:firstLine="0" w:firstLineChars="0"/>
        <w:rPr>
          <w:rFonts w:ascii="宋体" w:hAnsi="宋体" w:eastAsia="宋体" w:cs="宋体"/>
          <w:b/>
          <w:bCs/>
          <w:szCs w:val="32"/>
          <w:lang w:val="zh-CN"/>
        </w:rPr>
      </w:pPr>
      <w:r>
        <w:rPr>
          <w:rFonts w:hint="eastAsia" w:ascii="宋体" w:hAnsi="宋体" w:eastAsia="宋体" w:cs="宋体"/>
          <w:b/>
          <w:bCs/>
          <w:szCs w:val="32"/>
        </w:rPr>
        <w:t>玉泉区</w:t>
      </w:r>
      <w:r>
        <w:rPr>
          <w:rFonts w:hint="eastAsia" w:ascii="宋体" w:hAnsi="宋体" w:eastAsia="宋体" w:cs="宋体"/>
          <w:b/>
          <w:bCs/>
          <w:szCs w:val="32"/>
          <w:lang w:val="zh-CN"/>
        </w:rPr>
        <w:t xml:space="preserve">人民政府              </w:t>
      </w:r>
      <w:r>
        <w:rPr>
          <w:rFonts w:hint="eastAsia" w:ascii="宋体" w:hAnsi="宋体" w:eastAsia="宋体" w:cs="宋体"/>
          <w:b/>
          <w:bCs/>
          <w:szCs w:val="32"/>
        </w:rPr>
        <w:t xml:space="preserve"> </w:t>
      </w:r>
      <w:r>
        <w:rPr>
          <w:rFonts w:hint="eastAsia" w:ascii="宋体" w:hAnsi="宋体" w:eastAsia="宋体" w:cs="宋体"/>
          <w:b/>
          <w:bCs/>
          <w:szCs w:val="32"/>
          <w:lang w:val="zh-CN"/>
        </w:rPr>
        <w:t xml:space="preserve">  </w:t>
      </w:r>
      <w:r>
        <w:rPr>
          <w:rFonts w:hint="eastAsia" w:ascii="宋体" w:hAnsi="宋体" w:eastAsia="宋体" w:cs="宋体"/>
          <w:b/>
          <w:bCs/>
          <w:szCs w:val="32"/>
        </w:rPr>
        <w:t xml:space="preserve">                   </w:t>
      </w:r>
      <w:r>
        <w:rPr>
          <w:rFonts w:hint="eastAsia" w:ascii="宋体" w:hAnsi="宋体" w:eastAsia="宋体" w:cs="宋体"/>
          <w:b/>
          <w:bCs/>
          <w:szCs w:val="32"/>
          <w:lang w:val="zh-CN"/>
        </w:rPr>
        <w:t>发布</w:t>
      </w:r>
      <w:bookmarkEnd w:id="5"/>
      <w:bookmarkEnd w:id="6"/>
      <w:bookmarkEnd w:id="7"/>
      <w:bookmarkEnd w:id="8"/>
      <w:bookmarkEnd w:id="9"/>
      <w:bookmarkEnd w:id="10"/>
      <w:bookmarkEnd w:id="11"/>
      <w:bookmarkEnd w:id="12"/>
      <w:bookmarkEnd w:id="13"/>
      <w:bookmarkEnd w:id="14"/>
    </w:p>
    <w:p>
      <w:pPr>
        <w:spacing w:line="240" w:lineRule="auto"/>
        <w:ind w:firstLine="643"/>
        <w:rPr>
          <w:rFonts w:ascii="宋体" w:hAnsi="宋体" w:eastAsia="宋体" w:cs="宋体"/>
          <w:b/>
          <w:bCs/>
          <w:szCs w:val="32"/>
          <w:lang w:val="zh-CN"/>
        </w:rPr>
      </w:pPr>
      <w:bookmarkStart w:id="15" w:name="_Toc212475403"/>
      <w:bookmarkStart w:id="16" w:name="_Toc212475404"/>
      <w:r>
        <w:rPr>
          <w:rFonts w:hint="eastAsia" w:ascii="宋体" w:hAnsi="宋体" w:eastAsia="宋体" w:cs="宋体"/>
          <w:b/>
          <w:bCs/>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90805</wp:posOffset>
                </wp:positionV>
                <wp:extent cx="5520055" cy="635"/>
                <wp:effectExtent l="0" t="13970" r="4445" b="23495"/>
                <wp:wrapNone/>
                <wp:docPr id="3" name="直接连接符 3"/>
                <wp:cNvGraphicFramePr/>
                <a:graphic xmlns:a="http://schemas.openxmlformats.org/drawingml/2006/main">
                  <a:graphicData uri="http://schemas.microsoft.com/office/word/2010/wordprocessingShape">
                    <wps:wsp>
                      <wps:cNvCnPr/>
                      <wps:spPr>
                        <a:xfrm>
                          <a:off x="0" y="0"/>
                          <a:ext cx="5520055" cy="63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7.15pt;height:0.05pt;width:434.65pt;z-index:251659264;mso-width-relative:page;mso-height-relative:page;" filled="f" stroked="t" coordsize="21600,21600" o:gfxdata="UEsFBgAAAAAAAAAAAAAAAAAAAAAAAFBLAwQKAAAAAACHTuJAAAAAAAAAAAAAAAAABAAAAGRycy9Q&#10;SwMEFAAAAAgAh07iQN1gjtTVAAAABwEAAA8AAABkcnMvZG93bnJldi54bWxNj09Lw0AQxe+C32EZ&#10;wYvYTf+gIWZTtOBNClYRj5PsNAlmZ8Putmm/vdOT3mbeG978Xrk+uUEdKcTes4H5LANF3Hjbc2vg&#10;8+P1PgcVE7LFwTMZOFOEdXV9VWJh/cTvdNylVkkIxwINdCmNhdax6chhnPmRWLy9Dw6TrKHVNuAk&#10;4W7Qiyx70A57lg8djrTpqPnZHZyBBrebLe6/9ITp+/nlrn47hzY35vZmnj2BSnRKf8dwwRd0qISp&#10;9ge2UQ0GltIkibxaghI7f1zIUF+EFeiq1P/5q19QSwMEFAAAAAgAh07iQCdQXQbXAQAAmwMAAA4A&#10;AABkcnMvZTJvRG9jLnhtbK1TzY7TMBC+I/EOlu803VZZVlHTPWxZLggqAQ8wtZ3Ekv/kMU37ErwA&#10;Ejc4ceTO27A8BmM3lAUuCJHDZMYef57vy5fV9cEatlcRtXctv5jNOVNOeKld3/LXr24fXXGGCZwE&#10;451q+VEhv14/fLAaQ6MWfvBGqsgIxGEzhpYPKYWmqlAMygLOfFCONjsfLSQqY1/JCCOhW1Mt5vPL&#10;avRRhuiFQqTVzWmTrwt+1ymRXnQdqsRMy2m2VGIscZdjtV5B00cIgxbTGPAPU1jQji49Q20gAXsT&#10;9R9QVovo0XdpJrytfNdpoQoHYnMx/43NywGCKlxIHAxnmfD/wYrn+21kWrZ8yZkDS5/o7t3nr28/&#10;fPvynuLdp49smUUaAzbUe+O2caowbGNmfOiizW/iwg5F2ONZWHVITNBiXdO3qmvOBO1dLuuMWP08&#10;GiKmp8pblpOWG+0ya2hg/wzTqfVHS142jo0tX1zVjzMikGs6A4lSG4gHur4cRm+0vNXG5CMY+92N&#10;iWwP2QflmWb4pS3fsgEcTn1lK7dBMyiQT5xk6RhIIUdW5nkGqyRnRpHzc1Y6E2jzN51E37gMrYpL&#10;J6JZ5pOwOdt5eSx6V7kiBxTVJrdmi92vKb//T6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1g&#10;jtTVAAAABwEAAA8AAAAAAAAAAQAgAAAAOAAAAGRycy9kb3ducmV2LnhtbFBLAQIUABQAAAAIAIdO&#10;4kAnUF0G1wEAAJsDAAAOAAAAAAAAAAEAIAAAADoBAABkcnMvZTJvRG9jLnhtbFBLBQYAAAAABgAG&#10;AFkBAACDBQAAAAA=&#10;">
                <v:fill on="f" focussize="0,0"/>
                <v:stroke weight="2.25pt" color="#000000" joinstyle="round"/>
                <v:imagedata o:title=""/>
                <o:lock v:ext="edit" aspectratio="f"/>
              </v:line>
            </w:pict>
          </mc:Fallback>
        </mc:AlternateContent>
      </w:r>
      <w:bookmarkEnd w:id="15"/>
    </w:p>
    <w:p>
      <w:pPr>
        <w:spacing w:line="240" w:lineRule="auto"/>
        <w:ind w:firstLine="0" w:firstLineChars="0"/>
        <w:jc w:val="center"/>
        <w:rPr>
          <w:rFonts w:ascii="宋体" w:hAnsi="宋体" w:eastAsia="宋体" w:cs="宋体"/>
          <w:b/>
          <w:bCs/>
          <w:szCs w:val="32"/>
        </w:rPr>
      </w:pPr>
      <w:bookmarkStart w:id="17" w:name="_Toc30075"/>
      <w:bookmarkStart w:id="18" w:name="_Toc11736"/>
      <w:bookmarkStart w:id="19" w:name="_Toc17173"/>
      <w:bookmarkStart w:id="20" w:name="_Toc4171"/>
      <w:bookmarkStart w:id="21" w:name="_Toc634"/>
      <w:bookmarkStart w:id="22" w:name="_Toc30354"/>
      <w:bookmarkStart w:id="23" w:name="_Toc47"/>
      <w:bookmarkStart w:id="24" w:name="_Toc31416"/>
      <w:bookmarkStart w:id="25" w:name="_Toc18038"/>
      <w:bookmarkStart w:id="26" w:name="_Toc10158"/>
      <w:r>
        <w:rPr>
          <w:rFonts w:hint="eastAsia" w:ascii="宋体" w:hAnsi="宋体" w:eastAsia="宋体" w:cs="宋体"/>
          <w:b/>
          <w:bCs/>
          <w:szCs w:val="32"/>
          <w:lang w:val="zh-CN"/>
        </w:rPr>
        <w:t>202</w:t>
      </w:r>
      <w:r>
        <w:rPr>
          <w:rFonts w:hint="eastAsia" w:ascii="宋体" w:hAnsi="宋体" w:eastAsia="宋体" w:cs="宋体"/>
          <w:b/>
          <w:bCs/>
          <w:szCs w:val="32"/>
        </w:rPr>
        <w:t>3</w:t>
      </w:r>
      <w:r>
        <w:rPr>
          <w:rFonts w:hint="eastAsia" w:ascii="宋体" w:hAnsi="宋体" w:eastAsia="宋体" w:cs="宋体"/>
          <w:b/>
          <w:bCs/>
          <w:szCs w:val="32"/>
          <w:lang w:val="zh-CN"/>
        </w:rPr>
        <w:t>年</w:t>
      </w:r>
      <w:r>
        <w:rPr>
          <w:rFonts w:hint="eastAsia" w:ascii="宋体" w:hAnsi="宋体" w:eastAsia="宋体" w:cs="宋体"/>
          <w:b/>
          <w:bCs/>
          <w:szCs w:val="32"/>
        </w:rPr>
        <w:t>11</w:t>
      </w:r>
      <w:r>
        <w:rPr>
          <w:rFonts w:hint="eastAsia" w:ascii="宋体" w:hAnsi="宋体" w:eastAsia="宋体" w:cs="宋体"/>
          <w:b/>
          <w:bCs/>
          <w:szCs w:val="32"/>
          <w:lang w:val="zh-CN"/>
        </w:rPr>
        <w:t>月</w:t>
      </w:r>
      <w:bookmarkEnd w:id="16"/>
      <w:bookmarkEnd w:id="17"/>
      <w:bookmarkEnd w:id="18"/>
      <w:bookmarkEnd w:id="19"/>
      <w:bookmarkEnd w:id="20"/>
      <w:bookmarkEnd w:id="21"/>
      <w:bookmarkEnd w:id="22"/>
      <w:bookmarkEnd w:id="23"/>
      <w:bookmarkEnd w:id="24"/>
      <w:bookmarkEnd w:id="25"/>
      <w:bookmarkEnd w:id="26"/>
    </w:p>
    <w:p>
      <w:pPr>
        <w:ind w:firstLine="640"/>
        <w:rPr>
          <w:lang w:val="zh-CN"/>
        </w:rPr>
      </w:pPr>
      <w:bookmarkStart w:id="27" w:name="_Toc10789"/>
      <w:bookmarkStart w:id="28" w:name="_Toc22169"/>
      <w:bookmarkStart w:id="29" w:name="_Toc1174"/>
      <w:bookmarkStart w:id="30" w:name="_Toc10865"/>
      <w:r>
        <w:rPr>
          <w:rFonts w:hint="eastAsia"/>
          <w:lang w:val="zh-CN"/>
        </w:rPr>
        <w:br w:type="page"/>
      </w:r>
    </w:p>
    <w:bookmarkEnd w:id="27"/>
    <w:bookmarkEnd w:id="28"/>
    <w:bookmarkEnd w:id="29"/>
    <w:bookmarkEnd w:id="30"/>
    <w:sdt>
      <w:sdtPr>
        <w:rPr>
          <w:rFonts w:ascii="宋体" w:hAnsi="宋体" w:eastAsia="宋体"/>
          <w:color w:val="000000"/>
          <w:sz w:val="36"/>
          <w:szCs w:val="36"/>
        </w:rPr>
        <w:id w:val="147460536"/>
        <w15:color w:val="DBDBDB"/>
        <w:docPartObj>
          <w:docPartGallery w:val="Table of Contents"/>
          <w:docPartUnique/>
        </w:docPartObj>
      </w:sdtPr>
      <w:sdtEndPr>
        <w:rPr>
          <w:rFonts w:ascii="Times New Roman" w:hAnsi="Verdana" w:eastAsiaTheme="minorEastAsia"/>
          <w:b/>
          <w:color w:val="000000"/>
          <w:kern w:val="0"/>
          <w:sz w:val="28"/>
          <w:szCs w:val="28"/>
        </w:rPr>
      </w:sdtEndPr>
      <w:sdtContent>
        <w:p>
          <w:pPr>
            <w:ind w:firstLine="0" w:firstLineChars="0"/>
            <w:jc w:val="center"/>
            <w:rPr>
              <w:sz w:val="36"/>
              <w:szCs w:val="36"/>
            </w:rPr>
          </w:pPr>
          <w:r>
            <w:rPr>
              <w:rFonts w:ascii="宋体" w:hAnsi="宋体" w:eastAsia="宋体"/>
              <w:sz w:val="36"/>
              <w:szCs w:val="36"/>
            </w:rPr>
            <w:t>目</w:t>
          </w:r>
          <w:r>
            <w:rPr>
              <w:rFonts w:hint="eastAsia" w:ascii="宋体" w:hAnsi="宋体" w:eastAsia="宋体"/>
              <w:sz w:val="36"/>
              <w:szCs w:val="36"/>
            </w:rPr>
            <w:t xml:space="preserve">  </w:t>
          </w:r>
          <w:r>
            <w:rPr>
              <w:rFonts w:ascii="宋体" w:hAnsi="宋体" w:eastAsia="宋体"/>
              <w:sz w:val="36"/>
              <w:szCs w:val="36"/>
            </w:rPr>
            <w:t>录</w:t>
          </w:r>
        </w:p>
        <w:p>
          <w:pPr>
            <w:pStyle w:val="15"/>
            <w:tabs>
              <w:tab w:val="right" w:leader="dot" w:pos="8731"/>
            </w:tabs>
          </w:pPr>
          <w:r>
            <w:fldChar w:fldCharType="begin"/>
          </w:r>
          <w:r>
            <w:instrText xml:space="preserve">TOC \o "1-2" \h \u </w:instrText>
          </w:r>
          <w:r>
            <w:fldChar w:fldCharType="separate"/>
          </w:r>
          <w:r>
            <w:fldChar w:fldCharType="begin"/>
          </w:r>
          <w:r>
            <w:instrText xml:space="preserve"> HYPERLINK \l _Toc22045 </w:instrText>
          </w:r>
          <w:r>
            <w:fldChar w:fldCharType="separate"/>
          </w:r>
          <w:r>
            <w:rPr>
              <w:rFonts w:ascii="仿宋" w:hAnsi="仿宋" w:eastAsia="仿宋" w:cs="仿宋"/>
              <w:szCs w:val="32"/>
            </w:rPr>
            <w:t>1 总则</w:t>
          </w:r>
          <w:r>
            <w:tab/>
          </w:r>
          <w:r>
            <w:fldChar w:fldCharType="begin"/>
          </w:r>
          <w:r>
            <w:instrText xml:space="preserve"> PAGEREF _Toc22045 \h </w:instrText>
          </w:r>
          <w:r>
            <w:fldChar w:fldCharType="separate"/>
          </w:r>
          <w:r>
            <w:t>1</w:t>
          </w:r>
          <w:r>
            <w:fldChar w:fldCharType="end"/>
          </w:r>
          <w:r>
            <w:fldChar w:fldCharType="end"/>
          </w:r>
        </w:p>
        <w:p>
          <w:pPr>
            <w:pStyle w:val="5"/>
            <w:tabs>
              <w:tab w:val="right" w:leader="dot" w:pos="8731"/>
            </w:tabs>
          </w:pPr>
          <w:r>
            <w:rPr>
              <w:lang w:eastAsia="zh-CN"/>
            </w:rPr>
            <w:fldChar w:fldCharType="begin"/>
          </w:r>
          <w:r>
            <w:rPr>
              <w:lang w:eastAsia="zh-CN"/>
            </w:rPr>
            <w:instrText xml:space="preserve"> HYPERLINK \l _Toc25591 </w:instrText>
          </w:r>
          <w:r>
            <w:rPr>
              <w:lang w:eastAsia="zh-CN"/>
            </w:rPr>
            <w:fldChar w:fldCharType="separate"/>
          </w:r>
          <w:r>
            <w:rPr>
              <w:rFonts w:hint="eastAsia" w:ascii="仿宋" w:hAnsi="仿宋" w:eastAsia="仿宋" w:cs="仿宋"/>
            </w:rPr>
            <w:t>1.1编制目的</w:t>
          </w:r>
          <w:r>
            <w:tab/>
          </w:r>
          <w:r>
            <w:fldChar w:fldCharType="begin"/>
          </w:r>
          <w:r>
            <w:instrText xml:space="preserve"> PAGEREF _Toc25591 \h </w:instrText>
          </w:r>
          <w:r>
            <w:fldChar w:fldCharType="separate"/>
          </w:r>
          <w:r>
            <w:t>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_Toc3285 </w:instrText>
          </w:r>
          <w:r>
            <w:rPr>
              <w:lang w:eastAsia="zh-CN"/>
            </w:rPr>
            <w:fldChar w:fldCharType="separate"/>
          </w:r>
          <w:r>
            <w:rPr>
              <w:rFonts w:hint="eastAsia" w:ascii="仿宋" w:hAnsi="仿宋" w:eastAsia="仿宋" w:cs="仿宋"/>
            </w:rPr>
            <w:t>1.2指导思想</w:t>
          </w:r>
          <w:r>
            <w:tab/>
          </w:r>
          <w:r>
            <w:fldChar w:fldCharType="begin"/>
          </w:r>
          <w:r>
            <w:instrText xml:space="preserve"> PAGEREF _Toc3285 \h </w:instrText>
          </w:r>
          <w:r>
            <w:fldChar w:fldCharType="separate"/>
          </w:r>
          <w:r>
            <w:t>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_Toc21164 </w:instrText>
          </w:r>
          <w:r>
            <w:rPr>
              <w:lang w:eastAsia="zh-CN"/>
            </w:rPr>
            <w:fldChar w:fldCharType="separate"/>
          </w:r>
          <w:r>
            <w:rPr>
              <w:rFonts w:hint="eastAsia" w:ascii="仿宋" w:hAnsi="仿宋" w:eastAsia="仿宋" w:cs="仿宋"/>
            </w:rPr>
            <w:t>1.3 编制依据</w:t>
          </w:r>
          <w:r>
            <w:tab/>
          </w:r>
          <w:r>
            <w:fldChar w:fldCharType="begin"/>
          </w:r>
          <w:r>
            <w:instrText xml:space="preserve"> PAGEREF _Toc21164 \h </w:instrText>
          </w:r>
          <w:r>
            <w:fldChar w:fldCharType="separate"/>
          </w:r>
          <w:r>
            <w:t>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_Toc22722 </w:instrText>
          </w:r>
          <w:r>
            <w:rPr>
              <w:lang w:eastAsia="zh-CN"/>
            </w:rPr>
            <w:fldChar w:fldCharType="separate"/>
          </w:r>
          <w:r>
            <w:rPr>
              <w:rFonts w:hint="eastAsia" w:ascii="仿宋" w:hAnsi="仿宋" w:eastAsia="仿宋" w:cs="仿宋"/>
            </w:rPr>
            <w:t>1.4 适用范围</w:t>
          </w:r>
          <w:r>
            <w:tab/>
          </w:r>
          <w:r>
            <w:fldChar w:fldCharType="begin"/>
          </w:r>
          <w:r>
            <w:instrText xml:space="preserve"> PAGEREF _Toc22722 \h </w:instrText>
          </w:r>
          <w:r>
            <w:fldChar w:fldCharType="separate"/>
          </w:r>
          <w:r>
            <w:t>2</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_Toc13534 </w:instrText>
          </w:r>
          <w:r>
            <w:rPr>
              <w:lang w:eastAsia="zh-CN"/>
            </w:rPr>
            <w:fldChar w:fldCharType="separate"/>
          </w:r>
          <w:r>
            <w:rPr>
              <w:rFonts w:hint="eastAsia" w:ascii="仿宋" w:hAnsi="仿宋" w:eastAsia="仿宋" w:cs="仿宋"/>
            </w:rPr>
            <w:t>1.5 工作原则</w:t>
          </w:r>
          <w:r>
            <w:tab/>
          </w:r>
          <w:r>
            <w:fldChar w:fldCharType="begin"/>
          </w:r>
          <w:r>
            <w:instrText xml:space="preserve"> PAGEREF _Toc13534 \h </w:instrText>
          </w:r>
          <w:r>
            <w:fldChar w:fldCharType="separate"/>
          </w:r>
          <w:r>
            <w:t>2</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_Toc13794 </w:instrText>
          </w:r>
          <w:r>
            <w:rPr>
              <w:lang w:eastAsia="zh-CN"/>
            </w:rPr>
            <w:fldChar w:fldCharType="separate"/>
          </w:r>
          <w:r>
            <w:rPr>
              <w:rFonts w:hint="eastAsia" w:ascii="仿宋" w:hAnsi="仿宋" w:eastAsia="仿宋" w:cs="仿宋"/>
            </w:rPr>
            <w:t>1.6灾害分级</w:t>
          </w:r>
          <w:r>
            <w:tab/>
          </w:r>
          <w:r>
            <w:fldChar w:fldCharType="begin"/>
          </w:r>
          <w:r>
            <w:instrText xml:space="preserve"> PAGEREF _Toc13794 \h </w:instrText>
          </w:r>
          <w:r>
            <w:fldChar w:fldCharType="separate"/>
          </w:r>
          <w:r>
            <w:t>2</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_Toc4477 </w:instrText>
          </w:r>
          <w:r>
            <w:rPr>
              <w:lang w:eastAsia="zh-CN"/>
            </w:rPr>
            <w:fldChar w:fldCharType="separate"/>
          </w:r>
          <w:r>
            <w:rPr>
              <w:rFonts w:ascii="仿宋" w:hAnsi="仿宋" w:eastAsia="仿宋" w:cs="仿宋"/>
              <w:szCs w:val="32"/>
            </w:rPr>
            <w:t>2主要任务</w:t>
          </w:r>
          <w:r>
            <w:tab/>
          </w:r>
          <w:r>
            <w:fldChar w:fldCharType="begin"/>
          </w:r>
          <w:r>
            <w:instrText xml:space="preserve"> PAGEREF _Toc4477 \h </w:instrText>
          </w:r>
          <w:r>
            <w:fldChar w:fldCharType="separate"/>
          </w:r>
          <w:r>
            <w:t>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_Toc18086 </w:instrText>
          </w:r>
          <w:r>
            <w:rPr>
              <w:lang w:eastAsia="zh-CN"/>
            </w:rPr>
            <w:fldChar w:fldCharType="separate"/>
          </w:r>
          <w:r>
            <w:rPr>
              <w:rFonts w:hint="eastAsia" w:ascii="仿宋" w:hAnsi="仿宋" w:eastAsia="仿宋" w:cs="仿宋"/>
            </w:rPr>
            <w:t>2.1组织灭火行动</w:t>
          </w:r>
          <w:r>
            <w:tab/>
          </w:r>
          <w:r>
            <w:fldChar w:fldCharType="begin"/>
          </w:r>
          <w:r>
            <w:instrText xml:space="preserve"> PAGEREF _Toc18086 \h </w:instrText>
          </w:r>
          <w:r>
            <w:fldChar w:fldCharType="separate"/>
          </w:r>
          <w:r>
            <w:t>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_Toc25461 </w:instrText>
          </w:r>
          <w:r>
            <w:rPr>
              <w:lang w:eastAsia="zh-CN"/>
            </w:rPr>
            <w:fldChar w:fldCharType="separate"/>
          </w:r>
          <w:r>
            <w:rPr>
              <w:rFonts w:hint="eastAsia" w:ascii="仿宋" w:hAnsi="仿宋" w:eastAsia="仿宋" w:cs="仿宋"/>
            </w:rPr>
            <w:t>2.2解救疏散人员</w:t>
          </w:r>
          <w:r>
            <w:tab/>
          </w:r>
          <w:r>
            <w:fldChar w:fldCharType="begin"/>
          </w:r>
          <w:r>
            <w:instrText xml:space="preserve"> PAGEREF _Toc25461 \h </w:instrText>
          </w:r>
          <w:r>
            <w:fldChar w:fldCharType="separate"/>
          </w:r>
          <w:r>
            <w:t>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_Toc23449 </w:instrText>
          </w:r>
          <w:r>
            <w:rPr>
              <w:lang w:eastAsia="zh-CN"/>
            </w:rPr>
            <w:fldChar w:fldCharType="separate"/>
          </w:r>
          <w:r>
            <w:rPr>
              <w:rFonts w:hint="eastAsia" w:ascii="仿宋" w:hAnsi="仿宋" w:eastAsia="仿宋" w:cs="仿宋"/>
            </w:rPr>
            <w:t>2.3保护重要目标</w:t>
          </w:r>
          <w:r>
            <w:tab/>
          </w:r>
          <w:r>
            <w:fldChar w:fldCharType="begin"/>
          </w:r>
          <w:r>
            <w:instrText xml:space="preserve"> PAGEREF _Toc23449 \h </w:instrText>
          </w:r>
          <w:r>
            <w:fldChar w:fldCharType="separate"/>
          </w:r>
          <w:r>
            <w:t>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_Toc15656 </w:instrText>
          </w:r>
          <w:r>
            <w:rPr>
              <w:lang w:eastAsia="zh-CN"/>
            </w:rPr>
            <w:fldChar w:fldCharType="separate"/>
          </w:r>
          <w:r>
            <w:rPr>
              <w:rFonts w:hint="eastAsia" w:ascii="仿宋" w:hAnsi="仿宋" w:eastAsia="仿宋" w:cs="仿宋"/>
            </w:rPr>
            <w:t>2.4转移重要物资</w:t>
          </w:r>
          <w:r>
            <w:tab/>
          </w:r>
          <w:r>
            <w:fldChar w:fldCharType="begin"/>
          </w:r>
          <w:r>
            <w:instrText xml:space="preserve"> PAGEREF _Toc15656 \h </w:instrText>
          </w:r>
          <w:r>
            <w:fldChar w:fldCharType="separate"/>
          </w:r>
          <w:r>
            <w:t>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_Toc22905 </w:instrText>
          </w:r>
          <w:r>
            <w:rPr>
              <w:lang w:eastAsia="zh-CN"/>
            </w:rPr>
            <w:fldChar w:fldCharType="separate"/>
          </w:r>
          <w:r>
            <w:rPr>
              <w:rFonts w:hint="eastAsia" w:ascii="仿宋" w:hAnsi="仿宋" w:eastAsia="仿宋" w:cs="仿宋"/>
            </w:rPr>
            <w:t>2.5维护社会稳定</w:t>
          </w:r>
          <w:r>
            <w:tab/>
          </w:r>
          <w:r>
            <w:fldChar w:fldCharType="begin"/>
          </w:r>
          <w:r>
            <w:instrText xml:space="preserve"> PAGEREF _Toc22905 \h </w:instrText>
          </w:r>
          <w:r>
            <w:fldChar w:fldCharType="separate"/>
          </w:r>
          <w:r>
            <w:t>3</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_Toc9400 </w:instrText>
          </w:r>
          <w:r>
            <w:rPr>
              <w:lang w:eastAsia="zh-CN"/>
            </w:rPr>
            <w:fldChar w:fldCharType="separate"/>
          </w:r>
          <w:r>
            <w:rPr>
              <w:rFonts w:ascii="仿宋" w:hAnsi="仿宋" w:eastAsia="仿宋" w:cs="仿宋"/>
              <w:szCs w:val="32"/>
            </w:rPr>
            <w:t>3 组织体系</w:t>
          </w:r>
          <w:r>
            <w:tab/>
          </w:r>
          <w:r>
            <w:fldChar w:fldCharType="begin"/>
          </w:r>
          <w:r>
            <w:instrText xml:space="preserve"> PAGEREF _Toc9400 \h </w:instrText>
          </w:r>
          <w:r>
            <w:fldChar w:fldCharType="separate"/>
          </w:r>
          <w:r>
            <w:t>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_Toc22444 </w:instrText>
          </w:r>
          <w:r>
            <w:rPr>
              <w:lang w:eastAsia="zh-CN"/>
            </w:rPr>
            <w:fldChar w:fldCharType="separate"/>
          </w:r>
          <w:r>
            <w:rPr>
              <w:rFonts w:hint="eastAsia" w:ascii="仿宋" w:hAnsi="仿宋" w:eastAsia="仿宋" w:cs="仿宋"/>
            </w:rPr>
            <w:t>3.1 森林草原防灭火指挥机构</w:t>
          </w:r>
          <w:r>
            <w:tab/>
          </w:r>
          <w:r>
            <w:fldChar w:fldCharType="begin"/>
          </w:r>
          <w:r>
            <w:instrText xml:space="preserve"> PAGEREF _Toc22444 \h </w:instrText>
          </w:r>
          <w:r>
            <w:fldChar w:fldCharType="separate"/>
          </w:r>
          <w:r>
            <w:t>4</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_Toc29588 </w:instrText>
          </w:r>
          <w:r>
            <w:rPr>
              <w:lang w:eastAsia="zh-CN"/>
            </w:rPr>
            <w:fldChar w:fldCharType="separate"/>
          </w:r>
          <w:r>
            <w:rPr>
              <w:rFonts w:hint="eastAsia" w:ascii="仿宋" w:hAnsi="仿宋" w:eastAsia="仿宋" w:cs="仿宋"/>
            </w:rPr>
            <w:t>3.2指挥单位分工</w:t>
          </w:r>
          <w:r>
            <w:tab/>
          </w:r>
          <w:r>
            <w:fldChar w:fldCharType="begin"/>
          </w:r>
          <w:r>
            <w:instrText xml:space="preserve"> PAGEREF _Toc29588 \h </w:instrText>
          </w:r>
          <w:r>
            <w:fldChar w:fldCharType="separate"/>
          </w:r>
          <w:r>
            <w:t>5</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_Toc22708 </w:instrText>
          </w:r>
          <w:r>
            <w:rPr>
              <w:lang w:eastAsia="zh-CN"/>
            </w:rPr>
            <w:fldChar w:fldCharType="separate"/>
          </w:r>
          <w:r>
            <w:rPr>
              <w:rFonts w:hint="eastAsia" w:ascii="仿宋" w:hAnsi="仿宋" w:eastAsia="仿宋" w:cs="仿宋"/>
            </w:rPr>
            <w:t>3.4 扑救指挥</w:t>
          </w:r>
          <w:r>
            <w:tab/>
          </w:r>
          <w:r>
            <w:fldChar w:fldCharType="begin"/>
          </w:r>
          <w:r>
            <w:instrText xml:space="preserve"> PAGEREF _Toc22708 \h </w:instrText>
          </w:r>
          <w:r>
            <w:fldChar w:fldCharType="separate"/>
          </w:r>
          <w:r>
            <w:t>6</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_Toc6204 </w:instrText>
          </w:r>
          <w:r>
            <w:rPr>
              <w:lang w:eastAsia="zh-CN"/>
            </w:rPr>
            <w:fldChar w:fldCharType="separate"/>
          </w:r>
          <w:r>
            <w:rPr>
              <w:rFonts w:hint="eastAsia" w:ascii="仿宋" w:hAnsi="仿宋" w:eastAsia="仿宋" w:cs="仿宋"/>
            </w:rPr>
            <w:t>3.5 指挥信息系统</w:t>
          </w:r>
          <w:r>
            <w:tab/>
          </w:r>
          <w:r>
            <w:fldChar w:fldCharType="begin"/>
          </w:r>
          <w:r>
            <w:instrText xml:space="preserve"> PAGEREF _Toc6204 \h </w:instrText>
          </w:r>
          <w:r>
            <w:fldChar w:fldCharType="separate"/>
          </w:r>
          <w:r>
            <w:t>7</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_Toc153 </w:instrText>
          </w:r>
          <w:r>
            <w:rPr>
              <w:lang w:eastAsia="zh-CN"/>
            </w:rPr>
            <w:fldChar w:fldCharType="separate"/>
          </w:r>
          <w:r>
            <w:rPr>
              <w:rFonts w:hint="eastAsia" w:ascii="仿宋" w:hAnsi="仿宋" w:eastAsia="仿宋" w:cs="仿宋"/>
            </w:rPr>
            <w:t>3.6 各工作组及职责</w:t>
          </w:r>
          <w:r>
            <w:tab/>
          </w:r>
          <w:r>
            <w:fldChar w:fldCharType="begin"/>
          </w:r>
          <w:r>
            <w:instrText xml:space="preserve"> PAGEREF _Toc153 \h </w:instrText>
          </w:r>
          <w:r>
            <w:fldChar w:fldCharType="separate"/>
          </w:r>
          <w:r>
            <w:t>7</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_Toc14229 </w:instrText>
          </w:r>
          <w:r>
            <w:rPr>
              <w:lang w:eastAsia="zh-CN"/>
            </w:rPr>
            <w:fldChar w:fldCharType="separate"/>
          </w:r>
          <w:r>
            <w:rPr>
              <w:rFonts w:ascii="仿宋" w:hAnsi="仿宋" w:eastAsia="仿宋" w:cs="仿宋"/>
              <w:szCs w:val="32"/>
            </w:rPr>
            <w:t>4 处置力量</w:t>
          </w:r>
          <w:r>
            <w:tab/>
          </w:r>
          <w:r>
            <w:fldChar w:fldCharType="begin"/>
          </w:r>
          <w:r>
            <w:instrText xml:space="preserve"> PAGEREF _Toc14229 \h </w:instrText>
          </w:r>
          <w:r>
            <w:fldChar w:fldCharType="separate"/>
          </w:r>
          <w:r>
            <w:t>11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_Toc21402 </w:instrText>
          </w:r>
          <w:r>
            <w:rPr>
              <w:lang w:eastAsia="zh-CN"/>
            </w:rPr>
            <w:fldChar w:fldCharType="separate"/>
          </w:r>
          <w:r>
            <w:rPr>
              <w:rFonts w:hint="eastAsia" w:ascii="仿宋" w:hAnsi="仿宋" w:eastAsia="仿宋" w:cs="仿宋"/>
            </w:rPr>
            <w:t>4.1力量编成</w:t>
          </w:r>
          <w:r>
            <w:tab/>
          </w:r>
          <w:r>
            <w:fldChar w:fldCharType="begin"/>
          </w:r>
          <w:r>
            <w:instrText xml:space="preserve"> PAGEREF _Toc21402 \h </w:instrText>
          </w:r>
          <w:r>
            <w:fldChar w:fldCharType="separate"/>
          </w:r>
          <w:r>
            <w:t>11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_Toc18706 </w:instrText>
          </w:r>
          <w:r>
            <w:rPr>
              <w:lang w:eastAsia="zh-CN"/>
            </w:rPr>
            <w:fldChar w:fldCharType="separate"/>
          </w:r>
          <w:r>
            <w:rPr>
              <w:rFonts w:hint="eastAsia" w:ascii="仿宋" w:hAnsi="仿宋" w:eastAsia="仿宋" w:cs="仿宋"/>
            </w:rPr>
            <w:t>4.2力量调动</w:t>
          </w:r>
          <w:r>
            <w:tab/>
          </w:r>
          <w:r>
            <w:fldChar w:fldCharType="begin"/>
          </w:r>
          <w:r>
            <w:instrText xml:space="preserve"> PAGEREF _Toc18706 \h </w:instrText>
          </w:r>
          <w:r>
            <w:fldChar w:fldCharType="separate"/>
          </w:r>
          <w:r>
            <w:t>12</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_Toc9925 </w:instrText>
          </w:r>
          <w:r>
            <w:rPr>
              <w:lang w:eastAsia="zh-CN"/>
            </w:rPr>
            <w:fldChar w:fldCharType="separate"/>
          </w:r>
          <w:r>
            <w:rPr>
              <w:rFonts w:ascii="仿宋" w:hAnsi="仿宋" w:eastAsia="仿宋" w:cs="仿宋"/>
              <w:szCs w:val="32"/>
            </w:rPr>
            <w:t>5 预警、监测和信息报告</w:t>
          </w:r>
          <w:r>
            <w:tab/>
          </w:r>
          <w:r>
            <w:fldChar w:fldCharType="begin"/>
          </w:r>
          <w:r>
            <w:instrText xml:space="preserve"> PAGEREF _Toc9925 \h </w:instrText>
          </w:r>
          <w:r>
            <w:fldChar w:fldCharType="separate"/>
          </w:r>
          <w:r>
            <w:t>12</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_Toc17225 </w:instrText>
          </w:r>
          <w:r>
            <w:rPr>
              <w:lang w:eastAsia="zh-CN"/>
            </w:rPr>
            <w:fldChar w:fldCharType="separate"/>
          </w:r>
          <w:r>
            <w:rPr>
              <w:rFonts w:hint="eastAsia" w:ascii="仿宋" w:hAnsi="仿宋" w:eastAsia="仿宋" w:cs="仿宋"/>
            </w:rPr>
            <w:t>5.1火险预警</w:t>
          </w:r>
          <w:r>
            <w:tab/>
          </w:r>
          <w:r>
            <w:fldChar w:fldCharType="begin"/>
          </w:r>
          <w:r>
            <w:instrText xml:space="preserve"> PAGEREF _Toc17225 \h </w:instrText>
          </w:r>
          <w:r>
            <w:fldChar w:fldCharType="separate"/>
          </w:r>
          <w:r>
            <w:t>12</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_Toc15634 </w:instrText>
          </w:r>
          <w:r>
            <w:rPr>
              <w:lang w:eastAsia="zh-CN"/>
            </w:rPr>
            <w:fldChar w:fldCharType="separate"/>
          </w:r>
          <w:r>
            <w:rPr>
              <w:rFonts w:hint="eastAsia" w:ascii="仿宋" w:hAnsi="仿宋" w:eastAsia="仿宋" w:cs="仿宋"/>
            </w:rPr>
            <w:t>5.2火情监测</w:t>
          </w:r>
          <w:r>
            <w:tab/>
          </w:r>
          <w:r>
            <w:fldChar w:fldCharType="begin"/>
          </w:r>
          <w:r>
            <w:instrText xml:space="preserve"> PAGEREF _Toc15634 \h </w:instrText>
          </w:r>
          <w:r>
            <w:fldChar w:fldCharType="separate"/>
          </w:r>
          <w:r>
            <w:t>15</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_Toc20777 </w:instrText>
          </w:r>
          <w:r>
            <w:rPr>
              <w:lang w:eastAsia="zh-CN"/>
            </w:rPr>
            <w:fldChar w:fldCharType="separate"/>
          </w:r>
          <w:r>
            <w:rPr>
              <w:rFonts w:hint="eastAsia" w:ascii="仿宋" w:hAnsi="仿宋" w:eastAsia="仿宋" w:cs="仿宋"/>
            </w:rPr>
            <w:t>5.3信息报告</w:t>
          </w:r>
          <w:r>
            <w:tab/>
          </w:r>
          <w:r>
            <w:fldChar w:fldCharType="begin"/>
          </w:r>
          <w:r>
            <w:instrText xml:space="preserve"> PAGEREF _Toc20777 \h </w:instrText>
          </w:r>
          <w:r>
            <w:fldChar w:fldCharType="separate"/>
          </w:r>
          <w:r>
            <w:t>15</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_Toc577 </w:instrText>
          </w:r>
          <w:r>
            <w:rPr>
              <w:lang w:eastAsia="zh-CN"/>
            </w:rPr>
            <w:fldChar w:fldCharType="separate"/>
          </w:r>
          <w:r>
            <w:rPr>
              <w:rFonts w:ascii="仿宋" w:hAnsi="仿宋" w:eastAsia="仿宋" w:cs="仿宋"/>
              <w:szCs w:val="32"/>
            </w:rPr>
            <w:t>6应急响应</w:t>
          </w:r>
          <w:r>
            <w:tab/>
          </w:r>
          <w:r>
            <w:fldChar w:fldCharType="begin"/>
          </w:r>
          <w:r>
            <w:instrText xml:space="preserve"> PAGEREF _Toc577 \h </w:instrText>
          </w:r>
          <w:r>
            <w:fldChar w:fldCharType="separate"/>
          </w:r>
          <w:r>
            <w:t>16</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_Toc4560 </w:instrText>
          </w:r>
          <w:r>
            <w:rPr>
              <w:lang w:eastAsia="zh-CN"/>
            </w:rPr>
            <w:fldChar w:fldCharType="separate"/>
          </w:r>
          <w:r>
            <w:rPr>
              <w:rFonts w:hint="eastAsia" w:ascii="仿宋" w:hAnsi="仿宋" w:eastAsia="仿宋" w:cs="仿宋"/>
            </w:rPr>
            <w:t>6.1分级响应</w:t>
          </w:r>
          <w:r>
            <w:tab/>
          </w:r>
          <w:r>
            <w:fldChar w:fldCharType="begin"/>
          </w:r>
          <w:r>
            <w:instrText xml:space="preserve"> PAGEREF _Toc4560 \h </w:instrText>
          </w:r>
          <w:r>
            <w:fldChar w:fldCharType="separate"/>
          </w:r>
          <w:r>
            <w:t>16</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_Toc31185 </w:instrText>
          </w:r>
          <w:r>
            <w:rPr>
              <w:lang w:eastAsia="zh-CN"/>
            </w:rPr>
            <w:fldChar w:fldCharType="separate"/>
          </w:r>
          <w:r>
            <w:rPr>
              <w:rFonts w:hint="eastAsia" w:ascii="仿宋" w:hAnsi="仿宋" w:eastAsia="仿宋" w:cs="仿宋"/>
            </w:rPr>
            <w:t>6.2响应措施</w:t>
          </w:r>
          <w:r>
            <w:tab/>
          </w:r>
          <w:r>
            <w:fldChar w:fldCharType="begin"/>
          </w:r>
          <w:r>
            <w:instrText xml:space="preserve"> PAGEREF _Toc31185 \h </w:instrText>
          </w:r>
          <w:r>
            <w:fldChar w:fldCharType="separate"/>
          </w:r>
          <w:r>
            <w:t>17</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_Toc16435 </w:instrText>
          </w:r>
          <w:r>
            <w:rPr>
              <w:lang w:eastAsia="zh-CN"/>
            </w:rPr>
            <w:fldChar w:fldCharType="separate"/>
          </w:r>
          <w:r>
            <w:rPr>
              <w:rFonts w:hint="eastAsia" w:ascii="仿宋" w:hAnsi="仿宋" w:eastAsia="仿宋" w:cs="仿宋"/>
            </w:rPr>
            <w:t>6.3玉泉区层面应对工作</w:t>
          </w:r>
          <w:r>
            <w:tab/>
          </w:r>
          <w:r>
            <w:fldChar w:fldCharType="begin"/>
          </w:r>
          <w:r>
            <w:instrText xml:space="preserve"> PAGEREF _Toc16435 \h </w:instrText>
          </w:r>
          <w:r>
            <w:fldChar w:fldCharType="separate"/>
          </w:r>
          <w:r>
            <w:t>21</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_Toc27275 </w:instrText>
          </w:r>
          <w:r>
            <w:rPr>
              <w:lang w:eastAsia="zh-CN"/>
            </w:rPr>
            <w:fldChar w:fldCharType="separate"/>
          </w:r>
          <w:r>
            <w:rPr>
              <w:rFonts w:ascii="仿宋" w:hAnsi="仿宋" w:eastAsia="仿宋" w:cs="仿宋"/>
              <w:szCs w:val="32"/>
            </w:rPr>
            <w:t>7 综合保障</w:t>
          </w:r>
          <w:r>
            <w:tab/>
          </w:r>
          <w:r>
            <w:fldChar w:fldCharType="begin"/>
          </w:r>
          <w:r>
            <w:instrText xml:space="preserve"> PAGEREF _Toc27275 \h </w:instrText>
          </w:r>
          <w:r>
            <w:fldChar w:fldCharType="separate"/>
          </w:r>
          <w:r>
            <w:t>28</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_Toc18683 </w:instrText>
          </w:r>
          <w:r>
            <w:rPr>
              <w:lang w:eastAsia="zh-CN"/>
            </w:rPr>
            <w:fldChar w:fldCharType="separate"/>
          </w:r>
          <w:r>
            <w:rPr>
              <w:rFonts w:hint="eastAsia" w:ascii="仿宋" w:hAnsi="仿宋" w:eastAsia="仿宋" w:cs="仿宋"/>
            </w:rPr>
            <w:t>7.1 通信保障</w:t>
          </w:r>
          <w:r>
            <w:tab/>
          </w:r>
          <w:r>
            <w:fldChar w:fldCharType="begin"/>
          </w:r>
          <w:r>
            <w:instrText xml:space="preserve"> PAGEREF _Toc18683 \h </w:instrText>
          </w:r>
          <w:r>
            <w:fldChar w:fldCharType="separate"/>
          </w:r>
          <w:r>
            <w:t>28</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_Toc21358 </w:instrText>
          </w:r>
          <w:r>
            <w:rPr>
              <w:lang w:eastAsia="zh-CN"/>
            </w:rPr>
            <w:fldChar w:fldCharType="separate"/>
          </w:r>
          <w:r>
            <w:rPr>
              <w:rFonts w:hint="eastAsia" w:ascii="仿宋" w:hAnsi="仿宋" w:eastAsia="仿宋" w:cs="仿宋"/>
            </w:rPr>
            <w:t>7.2 信息保障</w:t>
          </w:r>
          <w:r>
            <w:tab/>
          </w:r>
          <w:r>
            <w:fldChar w:fldCharType="begin"/>
          </w:r>
          <w:r>
            <w:instrText xml:space="preserve"> PAGEREF _Toc21358 \h </w:instrText>
          </w:r>
          <w:r>
            <w:fldChar w:fldCharType="separate"/>
          </w:r>
          <w:r>
            <w:t>29</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_Toc18494 </w:instrText>
          </w:r>
          <w:r>
            <w:rPr>
              <w:lang w:eastAsia="zh-CN"/>
            </w:rPr>
            <w:fldChar w:fldCharType="separate"/>
          </w:r>
          <w:r>
            <w:rPr>
              <w:rFonts w:hint="eastAsia" w:ascii="仿宋" w:hAnsi="仿宋" w:eastAsia="仿宋" w:cs="仿宋"/>
            </w:rPr>
            <w:t>7.3 输送保障</w:t>
          </w:r>
          <w:r>
            <w:tab/>
          </w:r>
          <w:r>
            <w:fldChar w:fldCharType="begin"/>
          </w:r>
          <w:r>
            <w:instrText xml:space="preserve"> PAGEREF _Toc18494 \h </w:instrText>
          </w:r>
          <w:r>
            <w:fldChar w:fldCharType="separate"/>
          </w:r>
          <w:r>
            <w:t>29</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_Toc23813 </w:instrText>
          </w:r>
          <w:r>
            <w:rPr>
              <w:lang w:eastAsia="zh-CN"/>
            </w:rPr>
            <w:fldChar w:fldCharType="separate"/>
          </w:r>
          <w:r>
            <w:rPr>
              <w:rFonts w:hint="eastAsia" w:ascii="仿宋" w:hAnsi="仿宋" w:eastAsia="仿宋" w:cs="仿宋"/>
            </w:rPr>
            <w:t>7.4 物资保障</w:t>
          </w:r>
          <w:r>
            <w:tab/>
          </w:r>
          <w:r>
            <w:fldChar w:fldCharType="begin"/>
          </w:r>
          <w:r>
            <w:instrText xml:space="preserve"> PAGEREF _Toc23813 \h </w:instrText>
          </w:r>
          <w:r>
            <w:fldChar w:fldCharType="separate"/>
          </w:r>
          <w:r>
            <w:t>29</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_Toc30201 </w:instrText>
          </w:r>
          <w:r>
            <w:rPr>
              <w:lang w:eastAsia="zh-CN"/>
            </w:rPr>
            <w:fldChar w:fldCharType="separate"/>
          </w:r>
          <w:r>
            <w:rPr>
              <w:rFonts w:hint="eastAsia" w:ascii="仿宋" w:hAnsi="仿宋" w:eastAsia="仿宋" w:cs="仿宋"/>
            </w:rPr>
            <w:t>7.5 资金保障</w:t>
          </w:r>
          <w:r>
            <w:tab/>
          </w:r>
          <w:r>
            <w:fldChar w:fldCharType="begin"/>
          </w:r>
          <w:r>
            <w:instrText xml:space="preserve"> PAGEREF _Toc30201 \h </w:instrText>
          </w:r>
          <w:r>
            <w:fldChar w:fldCharType="separate"/>
          </w:r>
          <w:r>
            <w:t>30</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_Toc21105 </w:instrText>
          </w:r>
          <w:r>
            <w:rPr>
              <w:lang w:eastAsia="zh-CN"/>
            </w:rPr>
            <w:fldChar w:fldCharType="separate"/>
          </w:r>
          <w:r>
            <w:rPr>
              <w:rFonts w:hint="eastAsia" w:ascii="仿宋" w:hAnsi="仿宋" w:eastAsia="仿宋" w:cs="仿宋"/>
              <w:lang w:val="en-US" w:eastAsia="zh-CN"/>
            </w:rPr>
            <w:t>7.6医疗保障</w:t>
          </w:r>
          <w:r>
            <w:tab/>
          </w:r>
          <w:r>
            <w:fldChar w:fldCharType="begin"/>
          </w:r>
          <w:r>
            <w:instrText xml:space="preserve"> PAGEREF _Toc21105 \h </w:instrText>
          </w:r>
          <w:r>
            <w:fldChar w:fldCharType="separate"/>
          </w:r>
          <w:r>
            <w:t>30</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_Toc32638 </w:instrText>
          </w:r>
          <w:r>
            <w:rPr>
              <w:lang w:eastAsia="zh-CN"/>
            </w:rPr>
            <w:fldChar w:fldCharType="separate"/>
          </w:r>
          <w:r>
            <w:rPr>
              <w:rFonts w:ascii="仿宋" w:hAnsi="仿宋" w:eastAsia="仿宋" w:cs="仿宋"/>
              <w:szCs w:val="32"/>
            </w:rPr>
            <w:t>8 后期处置</w:t>
          </w:r>
          <w:r>
            <w:tab/>
          </w:r>
          <w:r>
            <w:fldChar w:fldCharType="begin"/>
          </w:r>
          <w:r>
            <w:instrText xml:space="preserve"> PAGEREF _Toc32638 \h </w:instrText>
          </w:r>
          <w:r>
            <w:fldChar w:fldCharType="separate"/>
          </w:r>
          <w:r>
            <w:t>31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_Toc18342 </w:instrText>
          </w:r>
          <w:r>
            <w:rPr>
              <w:lang w:eastAsia="zh-CN"/>
            </w:rPr>
            <w:fldChar w:fldCharType="separate"/>
          </w:r>
          <w:r>
            <w:rPr>
              <w:rFonts w:hint="eastAsia" w:ascii="仿宋" w:hAnsi="仿宋" w:eastAsia="仿宋" w:cs="仿宋"/>
            </w:rPr>
            <w:t>8.</w:t>
          </w:r>
          <w:r>
            <w:rPr>
              <w:rFonts w:hint="eastAsia" w:ascii="仿宋" w:hAnsi="仿宋" w:eastAsia="仿宋" w:cs="仿宋"/>
              <w:lang w:val="en-US" w:eastAsia="zh-CN"/>
            </w:rPr>
            <w:t xml:space="preserve">1 </w:t>
          </w:r>
          <w:r>
            <w:rPr>
              <w:rFonts w:hint="eastAsia" w:ascii="仿宋" w:hAnsi="仿宋" w:eastAsia="仿宋" w:cs="仿宋"/>
            </w:rPr>
            <w:t>火灾评估</w:t>
          </w:r>
          <w:r>
            <w:tab/>
          </w:r>
          <w:r>
            <w:fldChar w:fldCharType="begin"/>
          </w:r>
          <w:r>
            <w:instrText xml:space="preserve"> PAGEREF _Toc18342 \h </w:instrText>
          </w:r>
          <w:r>
            <w:fldChar w:fldCharType="separate"/>
          </w:r>
          <w:r>
            <w:t>31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_Toc32051 </w:instrText>
          </w:r>
          <w:r>
            <w:rPr>
              <w:lang w:eastAsia="zh-CN"/>
            </w:rPr>
            <w:fldChar w:fldCharType="separate"/>
          </w:r>
          <w:r>
            <w:rPr>
              <w:rFonts w:hint="eastAsia" w:ascii="仿宋" w:hAnsi="仿宋" w:eastAsia="仿宋" w:cs="仿宋"/>
            </w:rPr>
            <w:t>8.</w:t>
          </w:r>
          <w:r>
            <w:rPr>
              <w:rFonts w:hint="eastAsia" w:ascii="仿宋" w:hAnsi="仿宋" w:eastAsia="仿宋" w:cs="仿宋"/>
              <w:lang w:val="en-US" w:eastAsia="zh-CN"/>
            </w:rPr>
            <w:t>2</w:t>
          </w:r>
          <w:r>
            <w:rPr>
              <w:rFonts w:hint="eastAsia" w:ascii="仿宋" w:hAnsi="仿宋" w:eastAsia="仿宋" w:cs="仿宋"/>
            </w:rPr>
            <w:t xml:space="preserve"> 火因火案查处</w:t>
          </w:r>
          <w:r>
            <w:tab/>
          </w:r>
          <w:r>
            <w:fldChar w:fldCharType="begin"/>
          </w:r>
          <w:r>
            <w:instrText xml:space="preserve"> PAGEREF _Toc32051 \h </w:instrText>
          </w:r>
          <w:r>
            <w:fldChar w:fldCharType="separate"/>
          </w:r>
          <w:r>
            <w:t>31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_Toc32430 </w:instrText>
          </w:r>
          <w:r>
            <w:rPr>
              <w:lang w:eastAsia="zh-CN"/>
            </w:rPr>
            <w:fldChar w:fldCharType="separate"/>
          </w:r>
          <w:r>
            <w:rPr>
              <w:rFonts w:hint="eastAsia" w:ascii="仿宋" w:hAnsi="仿宋" w:eastAsia="仿宋" w:cs="仿宋"/>
            </w:rPr>
            <w:t>8.</w:t>
          </w:r>
          <w:r>
            <w:rPr>
              <w:rFonts w:hint="eastAsia" w:ascii="仿宋" w:hAnsi="仿宋" w:eastAsia="仿宋" w:cs="仿宋"/>
              <w:lang w:val="en-US" w:eastAsia="zh-CN"/>
            </w:rPr>
            <w:t>3</w:t>
          </w:r>
          <w:r>
            <w:rPr>
              <w:rFonts w:hint="eastAsia" w:ascii="仿宋" w:hAnsi="仿宋" w:eastAsia="仿宋" w:cs="仿宋"/>
            </w:rPr>
            <w:t xml:space="preserve"> 约谈整改</w:t>
          </w:r>
          <w:r>
            <w:tab/>
          </w:r>
          <w:r>
            <w:fldChar w:fldCharType="begin"/>
          </w:r>
          <w:r>
            <w:instrText xml:space="preserve"> PAGEREF _Toc32430 \h </w:instrText>
          </w:r>
          <w:r>
            <w:fldChar w:fldCharType="separate"/>
          </w:r>
          <w:r>
            <w:t>31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_Toc28493 </w:instrText>
          </w:r>
          <w:r>
            <w:rPr>
              <w:lang w:eastAsia="zh-CN"/>
            </w:rPr>
            <w:fldChar w:fldCharType="separate"/>
          </w:r>
          <w:r>
            <w:rPr>
              <w:rFonts w:hint="eastAsia" w:ascii="仿宋" w:hAnsi="仿宋" w:eastAsia="仿宋" w:cs="仿宋"/>
            </w:rPr>
            <w:t>8.</w:t>
          </w:r>
          <w:r>
            <w:rPr>
              <w:rFonts w:hint="eastAsia" w:ascii="仿宋" w:hAnsi="仿宋" w:eastAsia="仿宋" w:cs="仿宋"/>
              <w:lang w:val="en-US" w:eastAsia="zh-CN"/>
            </w:rPr>
            <w:t>4</w:t>
          </w:r>
          <w:r>
            <w:rPr>
              <w:rFonts w:hint="eastAsia" w:ascii="仿宋" w:hAnsi="仿宋" w:eastAsia="仿宋" w:cs="仿宋"/>
            </w:rPr>
            <w:t xml:space="preserve"> 责任追究</w:t>
          </w:r>
          <w:r>
            <w:tab/>
          </w:r>
          <w:r>
            <w:fldChar w:fldCharType="begin"/>
          </w:r>
          <w:r>
            <w:instrText xml:space="preserve"> PAGEREF _Toc28493 \h </w:instrText>
          </w:r>
          <w:r>
            <w:fldChar w:fldCharType="separate"/>
          </w:r>
          <w:r>
            <w:t>31</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_Toc27632 </w:instrText>
          </w:r>
          <w:r>
            <w:rPr>
              <w:lang w:eastAsia="zh-CN"/>
            </w:rPr>
            <w:fldChar w:fldCharType="separate"/>
          </w:r>
          <w:r>
            <w:rPr>
              <w:rFonts w:hint="eastAsia" w:ascii="仿宋" w:hAnsi="仿宋" w:eastAsia="仿宋" w:cs="仿宋"/>
            </w:rPr>
            <w:t>8.</w:t>
          </w:r>
          <w:r>
            <w:rPr>
              <w:rFonts w:hint="eastAsia" w:ascii="仿宋" w:hAnsi="仿宋" w:eastAsia="仿宋" w:cs="仿宋"/>
              <w:lang w:val="en-US" w:eastAsia="zh-CN"/>
            </w:rPr>
            <w:t>5</w:t>
          </w:r>
          <w:r>
            <w:rPr>
              <w:rFonts w:hint="eastAsia" w:ascii="仿宋" w:hAnsi="仿宋" w:eastAsia="仿宋" w:cs="仿宋"/>
            </w:rPr>
            <w:t xml:space="preserve"> 工作总结</w:t>
          </w:r>
          <w:r>
            <w:tab/>
          </w:r>
          <w:r>
            <w:fldChar w:fldCharType="begin"/>
          </w:r>
          <w:r>
            <w:instrText xml:space="preserve"> PAGEREF _Toc27632 \h </w:instrText>
          </w:r>
          <w:r>
            <w:fldChar w:fldCharType="separate"/>
          </w:r>
          <w:r>
            <w:t>32</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_Toc16756 </w:instrText>
          </w:r>
          <w:r>
            <w:rPr>
              <w:lang w:eastAsia="zh-CN"/>
            </w:rPr>
            <w:fldChar w:fldCharType="separate"/>
          </w:r>
          <w:r>
            <w:rPr>
              <w:rFonts w:hint="eastAsia" w:ascii="仿宋" w:hAnsi="仿宋" w:eastAsia="仿宋" w:cs="仿宋"/>
            </w:rPr>
            <w:t>8.</w:t>
          </w:r>
          <w:r>
            <w:rPr>
              <w:rFonts w:hint="eastAsia" w:ascii="仿宋" w:hAnsi="仿宋" w:eastAsia="仿宋" w:cs="仿宋"/>
              <w:lang w:val="en-US" w:eastAsia="zh-CN"/>
            </w:rPr>
            <w:t>6</w:t>
          </w:r>
          <w:r>
            <w:rPr>
              <w:rFonts w:hint="eastAsia" w:ascii="仿宋" w:hAnsi="仿宋" w:eastAsia="仿宋" w:cs="仿宋"/>
            </w:rPr>
            <w:t xml:space="preserve"> 表彰奖励</w:t>
          </w:r>
          <w:r>
            <w:tab/>
          </w:r>
          <w:r>
            <w:fldChar w:fldCharType="begin"/>
          </w:r>
          <w:r>
            <w:instrText xml:space="preserve"> PAGEREF _Toc16756 \h </w:instrText>
          </w:r>
          <w:r>
            <w:fldChar w:fldCharType="separate"/>
          </w:r>
          <w:r>
            <w:t>32</w:t>
          </w:r>
          <w:r>
            <w:fldChar w:fldCharType="end"/>
          </w:r>
          <w:r>
            <w:rPr>
              <w:lang w:eastAsia="zh-CN"/>
            </w:rPr>
            <w:fldChar w:fldCharType="end"/>
          </w:r>
        </w:p>
        <w:p>
          <w:pPr>
            <w:pStyle w:val="15"/>
            <w:tabs>
              <w:tab w:val="right" w:leader="dot" w:pos="8731"/>
            </w:tabs>
          </w:pPr>
          <w:r>
            <w:rPr>
              <w:lang w:eastAsia="zh-CN"/>
            </w:rPr>
            <w:fldChar w:fldCharType="begin"/>
          </w:r>
          <w:r>
            <w:rPr>
              <w:lang w:eastAsia="zh-CN"/>
            </w:rPr>
            <w:instrText xml:space="preserve"> HYPERLINK \l _Toc5232 </w:instrText>
          </w:r>
          <w:r>
            <w:rPr>
              <w:lang w:eastAsia="zh-CN"/>
            </w:rPr>
            <w:fldChar w:fldCharType="separate"/>
          </w:r>
          <w:r>
            <w:rPr>
              <w:rFonts w:ascii="仿宋" w:hAnsi="仿宋" w:eastAsia="仿宋" w:cs="仿宋"/>
              <w:szCs w:val="32"/>
            </w:rPr>
            <w:t>9 附则</w:t>
          </w:r>
          <w:r>
            <w:tab/>
          </w:r>
          <w:r>
            <w:fldChar w:fldCharType="begin"/>
          </w:r>
          <w:r>
            <w:instrText xml:space="preserve"> PAGEREF _Toc5232 \h </w:instrText>
          </w:r>
          <w:r>
            <w:fldChar w:fldCharType="separate"/>
          </w:r>
          <w:r>
            <w:t>32</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_Toc28194 </w:instrText>
          </w:r>
          <w:r>
            <w:rPr>
              <w:lang w:eastAsia="zh-CN"/>
            </w:rPr>
            <w:fldChar w:fldCharType="separate"/>
          </w:r>
          <w:r>
            <w:rPr>
              <w:rFonts w:hint="eastAsia" w:ascii="仿宋" w:hAnsi="仿宋" w:eastAsia="仿宋" w:cs="仿宋"/>
            </w:rPr>
            <w:t>9.1 预案演练</w:t>
          </w:r>
          <w:r>
            <w:tab/>
          </w:r>
          <w:r>
            <w:fldChar w:fldCharType="begin"/>
          </w:r>
          <w:r>
            <w:instrText xml:space="preserve"> PAGEREF _Toc28194 \h </w:instrText>
          </w:r>
          <w:r>
            <w:fldChar w:fldCharType="separate"/>
          </w:r>
          <w:r>
            <w:t>33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_Toc17997 </w:instrText>
          </w:r>
          <w:r>
            <w:rPr>
              <w:lang w:eastAsia="zh-CN"/>
            </w:rPr>
            <w:fldChar w:fldCharType="separate"/>
          </w:r>
          <w:r>
            <w:rPr>
              <w:rFonts w:hint="eastAsia" w:ascii="仿宋" w:hAnsi="仿宋" w:eastAsia="仿宋" w:cs="仿宋"/>
            </w:rPr>
            <w:t>9.2 宣传与培训</w:t>
          </w:r>
          <w:r>
            <w:tab/>
          </w:r>
          <w:r>
            <w:fldChar w:fldCharType="begin"/>
          </w:r>
          <w:r>
            <w:instrText xml:space="preserve"> PAGEREF _Toc17997 \h </w:instrText>
          </w:r>
          <w:r>
            <w:fldChar w:fldCharType="separate"/>
          </w:r>
          <w:r>
            <w:t>33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_Toc10297 </w:instrText>
          </w:r>
          <w:r>
            <w:rPr>
              <w:lang w:eastAsia="zh-CN"/>
            </w:rPr>
            <w:fldChar w:fldCharType="separate"/>
          </w:r>
          <w:r>
            <w:rPr>
              <w:rFonts w:hint="eastAsia" w:ascii="仿宋" w:hAnsi="仿宋" w:eastAsia="仿宋" w:cs="仿宋"/>
            </w:rPr>
            <w:t>9.3预案管理</w:t>
          </w:r>
          <w:r>
            <w:tab/>
          </w:r>
          <w:r>
            <w:fldChar w:fldCharType="begin"/>
          </w:r>
          <w:r>
            <w:instrText xml:space="preserve"> PAGEREF _Toc10297 \h </w:instrText>
          </w:r>
          <w:r>
            <w:fldChar w:fldCharType="separate"/>
          </w:r>
          <w:r>
            <w:t>33</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_Toc13468 </w:instrText>
          </w:r>
          <w:r>
            <w:rPr>
              <w:lang w:eastAsia="zh-CN"/>
            </w:rPr>
            <w:fldChar w:fldCharType="separate"/>
          </w:r>
          <w:r>
            <w:rPr>
              <w:rFonts w:hint="eastAsia" w:ascii="仿宋" w:hAnsi="仿宋" w:eastAsia="仿宋" w:cs="仿宋"/>
            </w:rPr>
            <w:t>9.4责任与奖惩</w:t>
          </w:r>
          <w:r>
            <w:tab/>
          </w:r>
          <w:r>
            <w:fldChar w:fldCharType="begin"/>
          </w:r>
          <w:r>
            <w:instrText xml:space="preserve"> PAGEREF _Toc13468 \h </w:instrText>
          </w:r>
          <w:r>
            <w:fldChar w:fldCharType="separate"/>
          </w:r>
          <w:r>
            <w:t>34</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_Toc25774 </w:instrText>
          </w:r>
          <w:r>
            <w:rPr>
              <w:lang w:eastAsia="zh-CN"/>
            </w:rPr>
            <w:fldChar w:fldCharType="separate"/>
          </w:r>
          <w:r>
            <w:rPr>
              <w:rFonts w:hint="eastAsia" w:ascii="仿宋" w:hAnsi="仿宋" w:eastAsia="仿宋" w:cs="仿宋"/>
            </w:rPr>
            <w:t>9.5预案解释</w:t>
          </w:r>
          <w:r>
            <w:tab/>
          </w:r>
          <w:r>
            <w:fldChar w:fldCharType="begin"/>
          </w:r>
          <w:r>
            <w:instrText xml:space="preserve"> PAGEREF _Toc25774 \h </w:instrText>
          </w:r>
          <w:r>
            <w:fldChar w:fldCharType="separate"/>
          </w:r>
          <w:r>
            <w:t>34</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_Toc20920 </w:instrText>
          </w:r>
          <w:r>
            <w:rPr>
              <w:lang w:eastAsia="zh-CN"/>
            </w:rPr>
            <w:fldChar w:fldCharType="separate"/>
          </w:r>
          <w:r>
            <w:rPr>
              <w:rFonts w:hint="eastAsia" w:ascii="仿宋" w:hAnsi="仿宋" w:eastAsia="仿宋" w:cs="仿宋"/>
            </w:rPr>
            <w:t>9.6预案实施时间</w:t>
          </w:r>
          <w:r>
            <w:tab/>
          </w:r>
          <w:r>
            <w:fldChar w:fldCharType="begin"/>
          </w:r>
          <w:r>
            <w:instrText xml:space="preserve"> PAGEREF _Toc20920 \h </w:instrText>
          </w:r>
          <w:r>
            <w:fldChar w:fldCharType="separate"/>
          </w:r>
          <w:r>
            <w:t>34</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_Toc23562 </w:instrText>
          </w:r>
          <w:r>
            <w:rPr>
              <w:lang w:eastAsia="zh-CN"/>
            </w:rPr>
            <w:fldChar w:fldCharType="separate"/>
          </w:r>
          <w:r>
            <w:rPr>
              <w:rFonts w:hint="eastAsia" w:ascii="仿宋" w:hAnsi="仿宋" w:eastAsia="仿宋" w:cs="仿宋"/>
            </w:rPr>
            <w:t>9.7 附件</w:t>
          </w:r>
          <w:r>
            <w:tab/>
          </w:r>
          <w:r>
            <w:fldChar w:fldCharType="begin"/>
          </w:r>
          <w:r>
            <w:instrText xml:space="preserve"> PAGEREF _Toc23562 \h </w:instrText>
          </w:r>
          <w:r>
            <w:fldChar w:fldCharType="separate"/>
          </w:r>
          <w:r>
            <w:t>34</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_Toc11576 </w:instrText>
          </w:r>
          <w:r>
            <w:rPr>
              <w:lang w:eastAsia="zh-CN"/>
            </w:rPr>
            <w:fldChar w:fldCharType="separate"/>
          </w:r>
          <w:r>
            <w:rPr>
              <w:rFonts w:hint="eastAsia" w:ascii="仿宋" w:hAnsi="仿宋" w:eastAsia="仿宋" w:cs="仿宋"/>
            </w:rPr>
            <w:t>附件1：概况</w:t>
          </w:r>
          <w:r>
            <w:tab/>
          </w:r>
          <w:r>
            <w:fldChar w:fldCharType="begin"/>
          </w:r>
          <w:r>
            <w:instrText xml:space="preserve"> PAGEREF _Toc11576 \h </w:instrText>
          </w:r>
          <w:r>
            <w:fldChar w:fldCharType="separate"/>
          </w:r>
          <w:r>
            <w:t>36</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_Toc31725 </w:instrText>
          </w:r>
          <w:r>
            <w:rPr>
              <w:lang w:eastAsia="zh-CN"/>
            </w:rPr>
            <w:fldChar w:fldCharType="separate"/>
          </w:r>
          <w:r>
            <w:rPr>
              <w:rFonts w:hint="eastAsia" w:ascii="仿宋" w:hAnsi="仿宋" w:eastAsia="仿宋" w:cs="仿宋"/>
            </w:rPr>
            <w:t>附件2：</w:t>
          </w:r>
          <w:r>
            <w:rPr>
              <w:rFonts w:hint="eastAsia" w:ascii="仿宋" w:hAnsi="仿宋" w:eastAsia="仿宋" w:cs="仿宋"/>
              <w:lang w:val="en-US" w:eastAsia="zh-CN"/>
            </w:rPr>
            <w:t>应急响应流程图</w:t>
          </w:r>
          <w:r>
            <w:tab/>
          </w:r>
          <w:r>
            <w:fldChar w:fldCharType="begin"/>
          </w:r>
          <w:r>
            <w:instrText xml:space="preserve"> PAGEREF _Toc31725 \h </w:instrText>
          </w:r>
          <w:r>
            <w:fldChar w:fldCharType="separate"/>
          </w:r>
          <w:r>
            <w:t>38</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_Toc20731 </w:instrText>
          </w:r>
          <w:r>
            <w:rPr>
              <w:lang w:eastAsia="zh-CN"/>
            </w:rPr>
            <w:fldChar w:fldCharType="separate"/>
          </w:r>
          <w:r>
            <w:rPr>
              <w:rFonts w:hint="eastAsia" w:ascii="仿宋" w:hAnsi="仿宋" w:eastAsia="仿宋" w:cs="仿宋"/>
              <w:lang w:val="en-US" w:eastAsia="zh-CN"/>
            </w:rPr>
            <w:t>附件3：</w:t>
          </w:r>
          <w:r>
            <w:rPr>
              <w:rFonts w:hint="eastAsia" w:ascii="仿宋" w:hAnsi="仿宋" w:eastAsia="仿宋" w:cs="仿宋"/>
            </w:rPr>
            <w:t>森林火灾评估预判</w:t>
          </w:r>
          <w:r>
            <w:tab/>
          </w:r>
          <w:r>
            <w:fldChar w:fldCharType="begin"/>
          </w:r>
          <w:r>
            <w:instrText xml:space="preserve"> PAGEREF _Toc20731 \h </w:instrText>
          </w:r>
          <w:r>
            <w:fldChar w:fldCharType="separate"/>
          </w:r>
          <w:r>
            <w:t>39</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_Toc13949 </w:instrText>
          </w:r>
          <w:r>
            <w:rPr>
              <w:lang w:eastAsia="zh-CN"/>
            </w:rPr>
            <w:fldChar w:fldCharType="separate"/>
          </w:r>
          <w:r>
            <w:rPr>
              <w:rFonts w:hint="eastAsia"/>
            </w:rPr>
            <w:t>附件</w:t>
          </w:r>
          <w:r>
            <w:rPr>
              <w:rFonts w:hint="eastAsia"/>
              <w:lang w:val="en-US" w:eastAsia="zh-CN"/>
            </w:rPr>
            <w:t>4</w:t>
          </w:r>
          <w:r>
            <w:rPr>
              <w:rFonts w:hint="eastAsia"/>
            </w:rPr>
            <w:t>：玉泉区有关应急部门人员的联系方式</w:t>
          </w:r>
          <w:r>
            <w:tab/>
          </w:r>
          <w:r>
            <w:fldChar w:fldCharType="begin"/>
          </w:r>
          <w:r>
            <w:instrText xml:space="preserve"> PAGEREF _Toc13949 \h </w:instrText>
          </w:r>
          <w:r>
            <w:fldChar w:fldCharType="separate"/>
          </w:r>
          <w:r>
            <w:t>45</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_Toc8037 </w:instrText>
          </w:r>
          <w:r>
            <w:rPr>
              <w:lang w:eastAsia="zh-CN"/>
            </w:rPr>
            <w:fldChar w:fldCharType="separate"/>
          </w:r>
          <w:r>
            <w:rPr>
              <w:rFonts w:hint="eastAsia"/>
            </w:rPr>
            <w:t>附件</w:t>
          </w:r>
          <w:r>
            <w:rPr>
              <w:rFonts w:hint="eastAsia"/>
              <w:lang w:val="en-US" w:eastAsia="zh-CN"/>
            </w:rPr>
            <w:t>5</w:t>
          </w:r>
          <w:r>
            <w:rPr>
              <w:rFonts w:hint="eastAsia"/>
            </w:rPr>
            <w:t>：有关应急部门联系方式</w:t>
          </w:r>
          <w:r>
            <w:tab/>
          </w:r>
          <w:r>
            <w:fldChar w:fldCharType="begin"/>
          </w:r>
          <w:r>
            <w:instrText xml:space="preserve"> PAGEREF _Toc8037 \h </w:instrText>
          </w:r>
          <w:r>
            <w:fldChar w:fldCharType="separate"/>
          </w:r>
          <w:r>
            <w:t>48</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_Toc530 </w:instrText>
          </w:r>
          <w:r>
            <w:rPr>
              <w:lang w:eastAsia="zh-CN"/>
            </w:rPr>
            <w:fldChar w:fldCharType="separate"/>
          </w:r>
          <w:r>
            <w:rPr>
              <w:rFonts w:hint="eastAsia"/>
            </w:rPr>
            <w:t>附件</w:t>
          </w:r>
          <w:r>
            <w:rPr>
              <w:rFonts w:hint="eastAsia"/>
              <w:lang w:val="en-US" w:eastAsia="zh-CN"/>
            </w:rPr>
            <w:t>6</w:t>
          </w:r>
          <w:r>
            <w:rPr>
              <w:rFonts w:hint="eastAsia"/>
            </w:rPr>
            <w:t>：玉泉区应急物资配备表</w:t>
          </w:r>
          <w:r>
            <w:tab/>
          </w:r>
          <w:r>
            <w:fldChar w:fldCharType="begin"/>
          </w:r>
          <w:r>
            <w:instrText xml:space="preserve"> PAGEREF _Toc530 \h </w:instrText>
          </w:r>
          <w:r>
            <w:fldChar w:fldCharType="separate"/>
          </w:r>
          <w:r>
            <w:t>49</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_Toc1231 </w:instrText>
          </w:r>
          <w:r>
            <w:rPr>
              <w:lang w:eastAsia="zh-CN"/>
            </w:rPr>
            <w:fldChar w:fldCharType="separate"/>
          </w:r>
          <w:r>
            <w:rPr>
              <w:rFonts w:hint="eastAsia" w:ascii="Times New Roman" w:hAnsi="Times New Roman" w:cs="Times New Roman"/>
              <w:lang w:val="en-US" w:eastAsia="zh-CN"/>
            </w:rPr>
            <w:t>附件7：应急队伍情况</w:t>
          </w:r>
          <w:r>
            <w:tab/>
          </w:r>
          <w:r>
            <w:fldChar w:fldCharType="begin"/>
          </w:r>
          <w:r>
            <w:instrText xml:space="preserve"> PAGEREF _Toc1231 \h </w:instrText>
          </w:r>
          <w:r>
            <w:fldChar w:fldCharType="separate"/>
          </w:r>
          <w:r>
            <w:t>55</w:t>
          </w:r>
          <w:r>
            <w:fldChar w:fldCharType="end"/>
          </w:r>
          <w:r>
            <w:rPr>
              <w:lang w:eastAsia="zh-CN"/>
            </w:rPr>
            <w:fldChar w:fldCharType="end"/>
          </w:r>
        </w:p>
        <w:p>
          <w:pPr>
            <w:pStyle w:val="5"/>
            <w:tabs>
              <w:tab w:val="right" w:leader="dot" w:pos="8731"/>
            </w:tabs>
          </w:pPr>
          <w:r>
            <w:rPr>
              <w:lang w:eastAsia="zh-CN"/>
            </w:rPr>
            <w:fldChar w:fldCharType="begin"/>
          </w:r>
          <w:r>
            <w:rPr>
              <w:lang w:eastAsia="zh-CN"/>
            </w:rPr>
            <w:instrText xml:space="preserve"> HYPERLINK \l _Toc13179 </w:instrText>
          </w:r>
          <w:r>
            <w:rPr>
              <w:lang w:eastAsia="zh-CN"/>
            </w:rPr>
            <w:fldChar w:fldCharType="separate"/>
          </w:r>
          <w:r>
            <w:rPr>
              <w:rFonts w:hint="eastAsia" w:ascii="Times New Roman" w:hAnsi="Times New Roman" w:cs="Times New Roman"/>
              <w:lang w:val="en-US" w:eastAsia="zh-CN"/>
            </w:rPr>
            <w:t>附件8：玉泉区森林草原相关图纸</w:t>
          </w:r>
          <w:r>
            <w:tab/>
          </w:r>
          <w:r>
            <w:fldChar w:fldCharType="begin"/>
          </w:r>
          <w:r>
            <w:instrText xml:space="preserve"> PAGEREF _Toc13179 \h </w:instrText>
          </w:r>
          <w:r>
            <w:fldChar w:fldCharType="separate"/>
          </w:r>
          <w:r>
            <w:t>56</w:t>
          </w:r>
          <w:r>
            <w:fldChar w:fldCharType="end"/>
          </w:r>
          <w:r>
            <w:rPr>
              <w:lang w:eastAsia="zh-CN"/>
            </w:rPr>
            <w:fldChar w:fldCharType="end"/>
          </w:r>
        </w:p>
        <w:p>
          <w:pPr>
            <w:pStyle w:val="25"/>
            <w:ind w:firstLine="560"/>
            <w:rPr>
              <w:lang w:eastAsia="zh-CN"/>
            </w:rPr>
          </w:pPr>
          <w:r>
            <w:rPr>
              <w:lang w:eastAsia="zh-CN"/>
            </w:rPr>
            <w:fldChar w:fldCharType="end"/>
          </w:r>
        </w:p>
      </w:sdtContent>
    </w:sdt>
    <w:p>
      <w:pPr>
        <w:pStyle w:val="25"/>
        <w:ind w:firstLine="0" w:firstLineChars="0"/>
        <w:rPr>
          <w:lang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588" w:right="1588" w:bottom="1418" w:left="1588" w:header="720" w:footer="720" w:gutter="0"/>
          <w:pgNumType w:start="0"/>
          <w:cols w:space="720" w:num="1"/>
          <w:titlePg/>
          <w:docGrid w:linePitch="285" w:charSpace="0"/>
        </w:sectPr>
      </w:pPr>
    </w:p>
    <w:p>
      <w:pPr>
        <w:pStyle w:val="8"/>
        <w:ind w:firstLine="643"/>
        <w:rPr>
          <w:rFonts w:hint="default" w:ascii="仿宋" w:hAnsi="仿宋" w:eastAsia="仿宋" w:cs="仿宋"/>
          <w:szCs w:val="32"/>
        </w:rPr>
      </w:pPr>
      <w:bookmarkStart w:id="31" w:name="_Toc22045"/>
      <w:bookmarkStart w:id="32" w:name="_Toc32265"/>
      <w:bookmarkStart w:id="33" w:name="_Toc30145"/>
      <w:bookmarkStart w:id="34" w:name="_Toc17714"/>
      <w:r>
        <w:rPr>
          <w:rFonts w:ascii="仿宋" w:hAnsi="仿宋" w:eastAsia="仿宋" w:cs="仿宋"/>
          <w:szCs w:val="32"/>
        </w:rPr>
        <w:t>1 总则</w:t>
      </w:r>
      <w:bookmarkEnd w:id="31"/>
      <w:bookmarkEnd w:id="32"/>
      <w:bookmarkEnd w:id="33"/>
      <w:bookmarkEnd w:id="34"/>
    </w:p>
    <w:p>
      <w:pPr>
        <w:pStyle w:val="9"/>
        <w:ind w:firstLine="640"/>
        <w:rPr>
          <w:rFonts w:ascii="仿宋" w:hAnsi="仿宋" w:eastAsia="仿宋" w:cs="仿宋"/>
        </w:rPr>
      </w:pPr>
      <w:bookmarkStart w:id="35" w:name="_Toc5554"/>
      <w:bookmarkStart w:id="36" w:name="_Toc25591"/>
      <w:r>
        <w:rPr>
          <w:rFonts w:hint="eastAsia" w:ascii="仿宋" w:hAnsi="仿宋" w:eastAsia="仿宋" w:cs="仿宋"/>
        </w:rPr>
        <w:t>1.1编制目的</w:t>
      </w:r>
      <w:bookmarkEnd w:id="35"/>
      <w:bookmarkEnd w:id="36"/>
    </w:p>
    <w:p>
      <w:pPr>
        <w:ind w:firstLine="640"/>
        <w:rPr>
          <w:rFonts w:ascii="仿宋" w:hAnsi="仿宋" w:eastAsia="仿宋" w:cs="仿宋"/>
          <w:szCs w:val="32"/>
        </w:rPr>
      </w:pPr>
      <w:r>
        <w:rPr>
          <w:rFonts w:hint="eastAsia" w:ascii="仿宋" w:hAnsi="仿宋" w:eastAsia="仿宋" w:cs="仿宋"/>
          <w:szCs w:val="32"/>
        </w:rPr>
        <w:t>为建立健全玉泉区森林火灾应急处置工作机制，依法有力有序有效地实施森林火灾应急处置，最大程度减少森林火灾及其造成的人员伤亡和财产损失，保护森林资源，维护生态安全，特制定本预案。</w:t>
      </w:r>
    </w:p>
    <w:p>
      <w:pPr>
        <w:pStyle w:val="9"/>
        <w:ind w:firstLine="640"/>
        <w:rPr>
          <w:rFonts w:ascii="仿宋" w:hAnsi="仿宋" w:eastAsia="仿宋" w:cs="仿宋"/>
        </w:rPr>
      </w:pPr>
      <w:bookmarkStart w:id="37" w:name="_Toc13236"/>
      <w:bookmarkStart w:id="38" w:name="_Toc3285"/>
      <w:r>
        <w:rPr>
          <w:rFonts w:hint="eastAsia" w:ascii="仿宋" w:hAnsi="仿宋" w:eastAsia="仿宋" w:cs="仿宋"/>
        </w:rPr>
        <w:t>1.2指导思想</w:t>
      </w:r>
      <w:bookmarkEnd w:id="37"/>
      <w:bookmarkEnd w:id="38"/>
    </w:p>
    <w:p>
      <w:pPr>
        <w:ind w:firstLine="640"/>
        <w:rPr>
          <w:rFonts w:ascii="仿宋" w:hAnsi="仿宋" w:eastAsia="仿宋" w:cs="仿宋"/>
          <w:strike/>
          <w:color w:val="FF0000"/>
          <w:szCs w:val="32"/>
        </w:rPr>
      </w:pPr>
      <w:r>
        <w:rPr>
          <w:rFonts w:hint="eastAsia" w:ascii="仿宋" w:hAnsi="仿宋" w:eastAsia="仿宋" w:cs="仿宋"/>
          <w:szCs w:val="32"/>
        </w:rPr>
        <w:t>以习近平新时代中国特色社会主义思想为指导，深入贯彻落实习近平总书记关于防灾减灾救灾的重要论述和全面做好森林草原防灭火工作的重要指示精神，坚持人民至上、生命至上，按照呼和浩特市党委、政府决策部署，进一步完善玉泉区森林草原火灾应急处置工作的体制机制，依法有力有序有效处置森林草原火灾，最大程度减少人员伤亡和财产损失</w:t>
      </w:r>
      <w:r>
        <w:rPr>
          <w:rFonts w:hint="eastAsia" w:ascii="仿宋" w:hAnsi="仿宋" w:eastAsia="仿宋" w:cs="仿宋"/>
          <w:szCs w:val="32"/>
          <w:lang w:eastAsia="zh-CN"/>
        </w:rPr>
        <w:t>。</w:t>
      </w:r>
    </w:p>
    <w:p>
      <w:pPr>
        <w:pStyle w:val="9"/>
        <w:ind w:firstLine="640"/>
        <w:rPr>
          <w:rFonts w:ascii="仿宋" w:hAnsi="仿宋" w:eastAsia="仿宋" w:cs="仿宋"/>
        </w:rPr>
      </w:pPr>
      <w:bookmarkStart w:id="39" w:name="_Toc32475"/>
      <w:bookmarkStart w:id="40" w:name="_Toc27744"/>
      <w:bookmarkStart w:id="41" w:name="_Toc5969"/>
      <w:bookmarkStart w:id="42" w:name="_Toc21164"/>
      <w:bookmarkStart w:id="43" w:name="_Toc18601"/>
      <w:bookmarkStart w:id="44" w:name="_Toc14259"/>
      <w:bookmarkStart w:id="45" w:name="_Toc24374"/>
      <w:r>
        <w:rPr>
          <w:rFonts w:hint="eastAsia" w:ascii="仿宋" w:hAnsi="仿宋" w:eastAsia="仿宋" w:cs="仿宋"/>
        </w:rPr>
        <w:t>1.3 编制依据</w:t>
      </w:r>
      <w:bookmarkEnd w:id="39"/>
      <w:bookmarkEnd w:id="40"/>
      <w:bookmarkEnd w:id="41"/>
      <w:bookmarkEnd w:id="42"/>
      <w:bookmarkEnd w:id="43"/>
      <w:bookmarkEnd w:id="44"/>
      <w:bookmarkEnd w:id="45"/>
    </w:p>
    <w:p>
      <w:pPr>
        <w:ind w:firstLine="640"/>
        <w:rPr>
          <w:rFonts w:ascii="仿宋" w:hAnsi="仿宋" w:eastAsia="仿宋" w:cs="仿宋"/>
          <w:szCs w:val="32"/>
        </w:rPr>
      </w:pPr>
      <w:r>
        <w:rPr>
          <w:rFonts w:hint="eastAsia" w:ascii="仿宋" w:hAnsi="仿宋" w:eastAsia="仿宋" w:cs="仿宋"/>
          <w:szCs w:val="32"/>
        </w:rPr>
        <w:t>根据《中华人民共和国突发事件应对法》、《中华人民共和国森林法》、《中华人民共和国草原法》、《森林防火条例》、《草原防火条例》、《国家突发</w:t>
      </w:r>
      <w:bookmarkStart w:id="344" w:name="_GoBack"/>
      <w:bookmarkEnd w:id="344"/>
      <w:r>
        <w:rPr>
          <w:rFonts w:hint="eastAsia" w:ascii="仿宋" w:hAnsi="仿宋" w:eastAsia="仿宋" w:cs="仿宋"/>
          <w:szCs w:val="32"/>
        </w:rPr>
        <w:t>事件总体应急预案》、《国家森林草原火灾应急预案》、《突发事件应急预案管理办法》《内蒙古自治区森林草原防火条例》、《内蒙古自治区森林草原火灾扑救办法》、《内蒙古自治区突发公共事件总体应急预案》、《内蒙古自治区森林草原火灾应急预案》、《呼和浩特市森林草原火灾应急预案》及有关法律法规、文件进行编制。</w:t>
      </w:r>
    </w:p>
    <w:p>
      <w:pPr>
        <w:pStyle w:val="9"/>
        <w:ind w:firstLine="640"/>
        <w:rPr>
          <w:rFonts w:ascii="仿宋" w:hAnsi="仿宋" w:eastAsia="仿宋" w:cs="仿宋"/>
        </w:rPr>
      </w:pPr>
      <w:bookmarkStart w:id="46" w:name="_Toc31858"/>
      <w:bookmarkStart w:id="47" w:name="_Toc29394"/>
      <w:bookmarkStart w:id="48" w:name="_Toc23715"/>
      <w:bookmarkStart w:id="49" w:name="_Toc21749"/>
      <w:bookmarkStart w:id="50" w:name="_Toc22722"/>
      <w:bookmarkStart w:id="51" w:name="_Toc21226"/>
      <w:bookmarkStart w:id="52" w:name="_Toc14546"/>
      <w:r>
        <w:rPr>
          <w:rFonts w:hint="eastAsia" w:ascii="仿宋" w:hAnsi="仿宋" w:eastAsia="仿宋" w:cs="仿宋"/>
        </w:rPr>
        <w:t>1.4 适用范围</w:t>
      </w:r>
      <w:bookmarkEnd w:id="46"/>
      <w:bookmarkEnd w:id="47"/>
      <w:bookmarkEnd w:id="48"/>
      <w:bookmarkEnd w:id="49"/>
      <w:bookmarkEnd w:id="50"/>
      <w:bookmarkEnd w:id="51"/>
      <w:bookmarkEnd w:id="52"/>
    </w:p>
    <w:p>
      <w:pPr>
        <w:ind w:firstLine="640"/>
        <w:rPr>
          <w:rFonts w:ascii="仿宋" w:hAnsi="仿宋" w:eastAsia="仿宋" w:cs="仿宋"/>
          <w:szCs w:val="32"/>
        </w:rPr>
      </w:pPr>
      <w:bookmarkStart w:id="53" w:name="_Toc30409"/>
      <w:bookmarkStart w:id="54" w:name="_Toc20642"/>
      <w:bookmarkStart w:id="55" w:name="_Toc26571"/>
      <w:bookmarkStart w:id="56" w:name="_Toc9642"/>
      <w:bookmarkStart w:id="57" w:name="_Toc1278"/>
      <w:r>
        <w:rPr>
          <w:rFonts w:hint="eastAsia" w:ascii="仿宋" w:hAnsi="仿宋" w:eastAsia="仿宋" w:cs="仿宋"/>
          <w:szCs w:val="32"/>
        </w:rPr>
        <w:t>本预案适用于玉泉区行政管辖内的森林草原火灾以及对玉泉区森林草原构成威胁的周边旗县区界外火灾的应急处置工作。</w:t>
      </w:r>
    </w:p>
    <w:p>
      <w:pPr>
        <w:pStyle w:val="9"/>
        <w:ind w:firstLine="640"/>
        <w:rPr>
          <w:rFonts w:ascii="仿宋" w:hAnsi="仿宋" w:eastAsia="仿宋" w:cs="仿宋"/>
        </w:rPr>
      </w:pPr>
      <w:bookmarkStart w:id="58" w:name="_Toc13534"/>
      <w:bookmarkStart w:id="59" w:name="_Toc2012"/>
      <w:r>
        <w:rPr>
          <w:rFonts w:hint="eastAsia" w:ascii="仿宋" w:hAnsi="仿宋" w:eastAsia="仿宋" w:cs="仿宋"/>
        </w:rPr>
        <w:t>1.5 工作原则</w:t>
      </w:r>
      <w:bookmarkEnd w:id="53"/>
      <w:bookmarkEnd w:id="54"/>
      <w:bookmarkEnd w:id="55"/>
      <w:bookmarkEnd w:id="56"/>
      <w:bookmarkEnd w:id="57"/>
      <w:bookmarkEnd w:id="58"/>
      <w:bookmarkEnd w:id="59"/>
    </w:p>
    <w:p>
      <w:pPr>
        <w:ind w:firstLine="640"/>
        <w:rPr>
          <w:rFonts w:ascii="仿宋" w:hAnsi="仿宋" w:eastAsia="仿宋" w:cs="仿宋"/>
          <w:szCs w:val="32"/>
        </w:rPr>
      </w:pPr>
      <w:r>
        <w:rPr>
          <w:rFonts w:hint="eastAsia" w:ascii="仿宋" w:hAnsi="仿宋" w:eastAsia="仿宋" w:cs="仿宋"/>
          <w:szCs w:val="32"/>
        </w:rPr>
        <w:t>森林草原火灾应对工作坚持统一领导、分工协作，属地为主、分级负责，协调联动、科学扑救，以人为本、安全高效的原则。实行玉泉区人民政府行政首长负责制，森林草原火灾发生后，</w:t>
      </w:r>
      <w:r>
        <w:rPr>
          <w:rFonts w:hint="eastAsia" w:ascii="仿宋" w:hAnsi="仿宋" w:eastAsia="仿宋" w:cs="仿宋"/>
          <w:szCs w:val="32"/>
          <w:lang w:val="en-US" w:eastAsia="zh-CN"/>
        </w:rPr>
        <w:t>玉泉区</w:t>
      </w:r>
      <w:r>
        <w:rPr>
          <w:rFonts w:hint="eastAsia" w:ascii="仿宋" w:hAnsi="仿宋" w:eastAsia="仿宋" w:cs="仿宋"/>
          <w:szCs w:val="32"/>
        </w:rPr>
        <w:t>政府及其有关部门立即按照任务分工和相关预案开展处置工作。</w:t>
      </w:r>
      <w:r>
        <w:rPr>
          <w:rFonts w:hint="eastAsia" w:ascii="仿宋" w:hAnsi="仿宋" w:eastAsia="仿宋" w:cs="仿宋"/>
          <w:szCs w:val="32"/>
          <w:lang w:val="en-US" w:eastAsia="zh-CN"/>
        </w:rPr>
        <w:t>玉泉区</w:t>
      </w:r>
      <w:r>
        <w:rPr>
          <w:rFonts w:hint="eastAsia" w:ascii="仿宋" w:hAnsi="仿宋" w:eastAsia="仿宋" w:cs="仿宋"/>
          <w:szCs w:val="32"/>
        </w:rPr>
        <w:t>政府是应对本行政区域一般、较大森林草原火灾的主体，</w:t>
      </w:r>
      <w:r>
        <w:rPr>
          <w:rFonts w:hint="eastAsia" w:ascii="仿宋" w:hAnsi="仿宋" w:eastAsia="仿宋" w:cs="仿宋"/>
          <w:szCs w:val="32"/>
          <w:lang w:val="en-US" w:eastAsia="zh-CN"/>
        </w:rPr>
        <w:t>玉泉区</w:t>
      </w:r>
      <w:r>
        <w:rPr>
          <w:rFonts w:hint="eastAsia" w:ascii="仿宋" w:hAnsi="仿宋" w:eastAsia="仿宋" w:cs="仿宋"/>
          <w:szCs w:val="32"/>
        </w:rPr>
        <w:t xml:space="preserve">政府根据森林草原火灾应对工作需要，给予指导和支持。 </w:t>
      </w:r>
    </w:p>
    <w:p>
      <w:pPr>
        <w:pStyle w:val="9"/>
        <w:ind w:firstLine="640"/>
        <w:rPr>
          <w:rFonts w:ascii="仿宋" w:hAnsi="仿宋" w:eastAsia="仿宋" w:cs="仿宋"/>
        </w:rPr>
      </w:pPr>
      <w:bookmarkStart w:id="60" w:name="_Toc25181"/>
      <w:bookmarkStart w:id="61" w:name="_Toc13794"/>
      <w:r>
        <w:rPr>
          <w:rFonts w:hint="eastAsia" w:ascii="仿宋" w:hAnsi="仿宋" w:eastAsia="仿宋" w:cs="仿宋"/>
        </w:rPr>
        <w:t>1.6灾害分级</w:t>
      </w:r>
      <w:bookmarkEnd w:id="60"/>
      <w:bookmarkEnd w:id="61"/>
    </w:p>
    <w:p>
      <w:pPr>
        <w:pStyle w:val="25"/>
        <w:ind w:firstLine="640"/>
        <w:rPr>
          <w:rFonts w:ascii="仿宋" w:hAnsi="仿宋" w:eastAsia="仿宋" w:cs="仿宋"/>
          <w:sz w:val="32"/>
          <w:szCs w:val="32"/>
          <w:lang w:eastAsia="zh-CN"/>
        </w:rPr>
      </w:pPr>
      <w:r>
        <w:rPr>
          <w:rFonts w:hint="eastAsia" w:ascii="仿宋" w:hAnsi="仿宋" w:eastAsia="仿宋" w:cs="仿宋"/>
          <w:sz w:val="32"/>
          <w:szCs w:val="32"/>
          <w:lang w:eastAsia="zh-CN"/>
        </w:rPr>
        <w:t>森林草原火灾按照受害森林草原面积、伤亡人数分为特别重大、重大、较大和一般森林草原火灾四个级别，具体分级标准按照有关法律法规执行。</w:t>
      </w:r>
    </w:p>
    <w:p>
      <w:pPr>
        <w:pStyle w:val="8"/>
        <w:ind w:firstLine="643"/>
        <w:rPr>
          <w:rFonts w:hint="default" w:ascii="仿宋" w:hAnsi="仿宋" w:eastAsia="仿宋" w:cs="仿宋"/>
          <w:szCs w:val="32"/>
        </w:rPr>
      </w:pPr>
      <w:bookmarkStart w:id="62" w:name="_Toc4477"/>
      <w:bookmarkStart w:id="63" w:name="_Toc14249"/>
      <w:bookmarkStart w:id="64" w:name="_Toc174"/>
      <w:bookmarkStart w:id="65" w:name="_Toc30233"/>
      <w:bookmarkStart w:id="66" w:name="_Toc22779"/>
      <w:bookmarkStart w:id="67" w:name="_Toc17750"/>
      <w:bookmarkStart w:id="68" w:name="_Toc29935"/>
      <w:r>
        <w:rPr>
          <w:rFonts w:ascii="仿宋" w:hAnsi="仿宋" w:eastAsia="仿宋" w:cs="仿宋"/>
          <w:szCs w:val="32"/>
        </w:rPr>
        <w:t>2主要任务</w:t>
      </w:r>
      <w:bookmarkEnd w:id="62"/>
      <w:bookmarkEnd w:id="63"/>
      <w:bookmarkEnd w:id="64"/>
    </w:p>
    <w:p>
      <w:pPr>
        <w:pStyle w:val="9"/>
        <w:ind w:firstLine="640"/>
        <w:rPr>
          <w:rFonts w:ascii="仿宋" w:hAnsi="仿宋" w:eastAsia="仿宋" w:cs="仿宋"/>
        </w:rPr>
      </w:pPr>
      <w:bookmarkStart w:id="69" w:name="_Toc4542"/>
      <w:bookmarkStart w:id="70" w:name="_Toc18086"/>
      <w:bookmarkStart w:id="71" w:name="_Toc27696"/>
      <w:r>
        <w:rPr>
          <w:rFonts w:hint="eastAsia" w:ascii="仿宋" w:hAnsi="仿宋" w:eastAsia="仿宋" w:cs="仿宋"/>
        </w:rPr>
        <w:t>2.1组织灭火行动</w:t>
      </w:r>
      <w:bookmarkEnd w:id="69"/>
      <w:bookmarkEnd w:id="70"/>
      <w:bookmarkEnd w:id="71"/>
    </w:p>
    <w:p>
      <w:pPr>
        <w:ind w:firstLine="640"/>
        <w:rPr>
          <w:rFonts w:ascii="仿宋" w:hAnsi="仿宋" w:eastAsia="仿宋" w:cs="仿宋"/>
          <w:szCs w:val="32"/>
        </w:rPr>
      </w:pPr>
      <w:r>
        <w:rPr>
          <w:rFonts w:hint="eastAsia" w:ascii="仿宋" w:hAnsi="仿宋" w:eastAsia="仿宋" w:cs="仿宋"/>
          <w:szCs w:val="32"/>
        </w:rPr>
        <w:t>科学运用各种手段防火、扑打明火、开设防火隔离带、清理火线、看守火场，严防次生灾害发生。</w:t>
      </w:r>
    </w:p>
    <w:p>
      <w:pPr>
        <w:pStyle w:val="9"/>
        <w:ind w:firstLine="640"/>
        <w:rPr>
          <w:rFonts w:ascii="仿宋" w:hAnsi="仿宋" w:eastAsia="仿宋" w:cs="仿宋"/>
        </w:rPr>
      </w:pPr>
      <w:bookmarkStart w:id="72" w:name="_Toc9849"/>
      <w:bookmarkStart w:id="73" w:name="_Toc6662"/>
      <w:bookmarkStart w:id="74" w:name="_Toc25461"/>
      <w:r>
        <w:rPr>
          <w:rFonts w:hint="eastAsia" w:ascii="仿宋" w:hAnsi="仿宋" w:eastAsia="仿宋" w:cs="仿宋"/>
        </w:rPr>
        <w:t>2.2解救疏散人员</w:t>
      </w:r>
      <w:bookmarkEnd w:id="72"/>
      <w:bookmarkEnd w:id="73"/>
      <w:bookmarkEnd w:id="74"/>
    </w:p>
    <w:p>
      <w:pPr>
        <w:ind w:firstLine="640"/>
        <w:rPr>
          <w:rFonts w:ascii="仿宋" w:hAnsi="仿宋" w:eastAsia="仿宋" w:cs="仿宋"/>
          <w:szCs w:val="32"/>
        </w:rPr>
      </w:pPr>
      <w:r>
        <w:rPr>
          <w:rFonts w:hint="eastAsia" w:ascii="仿宋" w:hAnsi="仿宋" w:eastAsia="仿宋" w:cs="仿宋"/>
          <w:szCs w:val="32"/>
        </w:rPr>
        <w:t>组织解救、转移、疏散受威胁群众并及时妥善安置和开展必要的医疗救治。</w:t>
      </w:r>
    </w:p>
    <w:p>
      <w:pPr>
        <w:pStyle w:val="9"/>
        <w:ind w:firstLine="640"/>
        <w:rPr>
          <w:rFonts w:ascii="仿宋" w:hAnsi="仿宋" w:eastAsia="仿宋" w:cs="仿宋"/>
        </w:rPr>
      </w:pPr>
      <w:bookmarkStart w:id="75" w:name="_Toc23449"/>
      <w:bookmarkStart w:id="76" w:name="_Toc15940"/>
      <w:bookmarkStart w:id="77" w:name="_Toc20645"/>
      <w:r>
        <w:rPr>
          <w:rFonts w:hint="eastAsia" w:ascii="仿宋" w:hAnsi="仿宋" w:eastAsia="仿宋" w:cs="仿宋"/>
        </w:rPr>
        <w:t>2.3保护重要目标</w:t>
      </w:r>
      <w:bookmarkEnd w:id="75"/>
      <w:bookmarkEnd w:id="76"/>
      <w:bookmarkEnd w:id="77"/>
    </w:p>
    <w:p>
      <w:pPr>
        <w:ind w:firstLine="640"/>
        <w:rPr>
          <w:rFonts w:ascii="仿宋" w:hAnsi="仿宋" w:eastAsia="仿宋" w:cs="仿宋"/>
          <w:szCs w:val="32"/>
        </w:rPr>
      </w:pPr>
      <w:r>
        <w:rPr>
          <w:rFonts w:hint="eastAsia" w:ascii="仿宋" w:hAnsi="仿宋" w:eastAsia="仿宋" w:cs="仿宋"/>
          <w:szCs w:val="32"/>
        </w:rPr>
        <w:t>保护民生和重要军事目标并确保重大危险源安全。</w:t>
      </w:r>
    </w:p>
    <w:p>
      <w:pPr>
        <w:pStyle w:val="9"/>
        <w:ind w:firstLine="640"/>
        <w:rPr>
          <w:rFonts w:ascii="仿宋" w:hAnsi="仿宋" w:eastAsia="仿宋" w:cs="仿宋"/>
        </w:rPr>
      </w:pPr>
      <w:bookmarkStart w:id="78" w:name="_Toc22584"/>
      <w:bookmarkStart w:id="79" w:name="_Toc15656"/>
      <w:bookmarkStart w:id="80" w:name="_Toc6326"/>
      <w:r>
        <w:rPr>
          <w:rFonts w:hint="eastAsia" w:ascii="仿宋" w:hAnsi="仿宋" w:eastAsia="仿宋" w:cs="仿宋"/>
        </w:rPr>
        <w:t>2.4转移重要物资</w:t>
      </w:r>
      <w:bookmarkEnd w:id="78"/>
      <w:bookmarkEnd w:id="79"/>
      <w:bookmarkEnd w:id="80"/>
    </w:p>
    <w:p>
      <w:pPr>
        <w:ind w:firstLine="640"/>
        <w:rPr>
          <w:rFonts w:ascii="仿宋" w:hAnsi="仿宋" w:eastAsia="仿宋" w:cs="仿宋"/>
          <w:szCs w:val="32"/>
        </w:rPr>
      </w:pPr>
      <w:r>
        <w:rPr>
          <w:rFonts w:hint="eastAsia" w:ascii="仿宋" w:hAnsi="仿宋" w:eastAsia="仿宋" w:cs="仿宋"/>
          <w:szCs w:val="32"/>
        </w:rPr>
        <w:t>组织抢救、运送、转移重要物资。</w:t>
      </w:r>
    </w:p>
    <w:p>
      <w:pPr>
        <w:pStyle w:val="9"/>
        <w:ind w:firstLine="640"/>
        <w:rPr>
          <w:rFonts w:ascii="仿宋" w:hAnsi="仿宋" w:eastAsia="仿宋" w:cs="仿宋"/>
        </w:rPr>
      </w:pPr>
      <w:bookmarkStart w:id="81" w:name="_Toc31880"/>
      <w:bookmarkStart w:id="82" w:name="_Toc14257"/>
      <w:bookmarkStart w:id="83" w:name="_Toc22905"/>
      <w:r>
        <w:rPr>
          <w:rFonts w:hint="eastAsia" w:ascii="仿宋" w:hAnsi="仿宋" w:eastAsia="仿宋" w:cs="仿宋"/>
        </w:rPr>
        <w:t>2.5维护社会稳定</w:t>
      </w:r>
      <w:bookmarkEnd w:id="81"/>
      <w:bookmarkEnd w:id="82"/>
      <w:bookmarkEnd w:id="83"/>
    </w:p>
    <w:p>
      <w:pPr>
        <w:ind w:firstLine="640"/>
        <w:rPr>
          <w:rFonts w:ascii="仿宋" w:hAnsi="仿宋" w:eastAsia="仿宋" w:cs="仿宋"/>
          <w:szCs w:val="32"/>
        </w:rPr>
      </w:pPr>
      <w:r>
        <w:rPr>
          <w:rFonts w:hint="eastAsia" w:ascii="仿宋" w:hAnsi="仿宋" w:eastAsia="仿宋" w:cs="仿宋"/>
          <w:szCs w:val="32"/>
        </w:rPr>
        <w:t>加强森林草原火灾受影响区域的社会治安管理，严厉打击借机盗窃、抢劫、哄抢救灾物资、传播谣言等违法犯罪行为。必要时，有关部门在金融单位、储备仓库等重要场所加强治安巡逻，维护社会稳定。</w:t>
      </w:r>
    </w:p>
    <w:p>
      <w:pPr>
        <w:pStyle w:val="8"/>
        <w:ind w:firstLine="643"/>
        <w:rPr>
          <w:rFonts w:hint="default" w:ascii="仿宋" w:hAnsi="仿宋" w:eastAsia="仿宋" w:cs="仿宋"/>
          <w:szCs w:val="32"/>
        </w:rPr>
      </w:pPr>
      <w:bookmarkStart w:id="84" w:name="_Toc13142"/>
      <w:bookmarkStart w:id="85" w:name="_Toc21606"/>
      <w:bookmarkStart w:id="86" w:name="_Toc9400"/>
      <w:r>
        <w:rPr>
          <w:rFonts w:ascii="仿宋" w:hAnsi="仿宋" w:eastAsia="仿宋" w:cs="仿宋"/>
          <w:szCs w:val="32"/>
        </w:rPr>
        <w:t>3 组织体系</w:t>
      </w:r>
      <w:bookmarkEnd w:id="65"/>
      <w:bookmarkEnd w:id="66"/>
      <w:bookmarkEnd w:id="67"/>
      <w:bookmarkEnd w:id="68"/>
      <w:bookmarkEnd w:id="84"/>
      <w:bookmarkEnd w:id="85"/>
      <w:bookmarkEnd w:id="86"/>
    </w:p>
    <w:p>
      <w:pPr>
        <w:pStyle w:val="9"/>
        <w:ind w:firstLine="640"/>
        <w:rPr>
          <w:rFonts w:ascii="仿宋" w:hAnsi="仿宋" w:eastAsia="仿宋" w:cs="仿宋"/>
        </w:rPr>
      </w:pPr>
      <w:bookmarkStart w:id="87" w:name="_Toc13255"/>
      <w:bookmarkStart w:id="88" w:name="_Toc22444"/>
      <w:bookmarkStart w:id="89" w:name="_Toc15500"/>
      <w:bookmarkStart w:id="90" w:name="_Toc28986"/>
      <w:bookmarkStart w:id="91" w:name="_Toc9311"/>
      <w:bookmarkStart w:id="92" w:name="_Toc3420"/>
      <w:bookmarkStart w:id="93" w:name="_Toc28658"/>
      <w:r>
        <w:rPr>
          <w:rFonts w:hint="eastAsia" w:ascii="仿宋" w:hAnsi="仿宋" w:eastAsia="仿宋" w:cs="仿宋"/>
        </w:rPr>
        <w:t>3.1 森林草原防灭火指挥机构</w:t>
      </w:r>
      <w:bookmarkEnd w:id="87"/>
      <w:bookmarkEnd w:id="88"/>
      <w:bookmarkEnd w:id="89"/>
      <w:bookmarkEnd w:id="90"/>
      <w:bookmarkEnd w:id="91"/>
      <w:bookmarkEnd w:id="92"/>
      <w:bookmarkEnd w:id="93"/>
      <w:r>
        <w:rPr>
          <w:rFonts w:hint="eastAsia" w:ascii="仿宋" w:hAnsi="仿宋" w:eastAsia="仿宋" w:cs="仿宋"/>
        </w:rPr>
        <w:t xml:space="preserve"> </w:t>
      </w:r>
    </w:p>
    <w:p>
      <w:pPr>
        <w:ind w:firstLine="640"/>
        <w:rPr>
          <w:rFonts w:hint="eastAsia" w:ascii="仿宋" w:hAnsi="仿宋" w:eastAsia="仿宋" w:cs="仿宋"/>
          <w:szCs w:val="32"/>
        </w:rPr>
      </w:pPr>
      <w:r>
        <w:rPr>
          <w:rFonts w:hint="eastAsia" w:ascii="仿宋" w:hAnsi="仿宋" w:eastAsia="仿宋" w:cs="仿宋"/>
          <w:szCs w:val="32"/>
        </w:rPr>
        <w:t>玉泉区森林草原防灭火指挥部（</w:t>
      </w:r>
      <w:r>
        <w:rPr>
          <w:rFonts w:hint="eastAsia" w:ascii="仿宋" w:hAnsi="仿宋" w:eastAsia="仿宋" w:cs="仿宋"/>
          <w:szCs w:val="32"/>
          <w:lang w:val="en-US" w:eastAsia="zh-CN"/>
        </w:rPr>
        <w:t>以下</w:t>
      </w:r>
      <w:r>
        <w:rPr>
          <w:rFonts w:hint="eastAsia" w:ascii="仿宋" w:hAnsi="仿宋" w:eastAsia="仿宋" w:cs="仿宋"/>
          <w:szCs w:val="32"/>
        </w:rPr>
        <w:t>简称区森防指）</w:t>
      </w:r>
      <w:r>
        <w:rPr>
          <w:rFonts w:hint="eastAsia" w:ascii="仿宋" w:hAnsi="仿宋" w:eastAsia="仿宋" w:cs="仿宋"/>
          <w:szCs w:val="32"/>
          <w:lang w:val="en-US" w:eastAsia="zh-CN"/>
        </w:rPr>
        <w:t>是玉泉</w:t>
      </w:r>
      <w:r>
        <w:rPr>
          <w:rFonts w:hint="eastAsia" w:ascii="仿宋" w:hAnsi="仿宋" w:eastAsia="仿宋" w:cs="仿宋"/>
          <w:szCs w:val="32"/>
        </w:rPr>
        <w:t>区森林草原火灾应急指挥机构，负责组织、协调和指导</w:t>
      </w:r>
      <w:r>
        <w:rPr>
          <w:rFonts w:hint="eastAsia" w:ascii="仿宋" w:hAnsi="仿宋" w:eastAsia="仿宋" w:cs="仿宋"/>
          <w:szCs w:val="32"/>
          <w:lang w:val="en-US" w:eastAsia="zh-CN"/>
        </w:rPr>
        <w:t>玉泉区</w:t>
      </w:r>
      <w:r>
        <w:rPr>
          <w:rFonts w:hint="eastAsia" w:ascii="仿宋" w:hAnsi="仿宋" w:eastAsia="仿宋" w:cs="仿宋"/>
          <w:szCs w:val="32"/>
        </w:rPr>
        <w:t>森林草原防灭火工作。区森防指总指挥由区政府区长担任，副总指挥由分管副区长、区应急管理局、</w:t>
      </w:r>
      <w:r>
        <w:rPr>
          <w:rFonts w:hint="eastAsia" w:ascii="仿宋" w:hAnsi="仿宋" w:eastAsia="仿宋" w:cs="仿宋"/>
          <w:szCs w:val="32"/>
          <w:lang w:eastAsia="zh-CN"/>
        </w:rPr>
        <w:t>区林业和草原分局</w:t>
      </w:r>
      <w:r>
        <w:rPr>
          <w:rFonts w:hint="eastAsia" w:ascii="仿宋" w:hAnsi="仿宋" w:eastAsia="仿宋" w:cs="仿宋"/>
          <w:szCs w:val="32"/>
        </w:rPr>
        <w:t>、区公安分局负责同志担任。指挥部办公室设在区应急管理局，由区应急管理局、</w:t>
      </w:r>
      <w:r>
        <w:rPr>
          <w:rFonts w:hint="eastAsia" w:ascii="仿宋" w:hAnsi="仿宋" w:eastAsia="仿宋" w:cs="仿宋"/>
          <w:szCs w:val="32"/>
          <w:lang w:eastAsia="zh-CN"/>
        </w:rPr>
        <w:t>区林业和草原分局</w:t>
      </w:r>
      <w:r>
        <w:rPr>
          <w:rFonts w:hint="eastAsia" w:ascii="仿宋" w:hAnsi="仿宋" w:eastAsia="仿宋" w:cs="仿宋"/>
          <w:szCs w:val="32"/>
        </w:rPr>
        <w:t>、公安分局及消防救援大队共同派员组成，承担指挥部的日常工作。必要时，</w:t>
      </w:r>
      <w:r>
        <w:rPr>
          <w:rFonts w:hint="eastAsia" w:ascii="仿宋" w:hAnsi="仿宋" w:eastAsia="仿宋" w:cs="仿宋"/>
          <w:szCs w:val="32"/>
          <w:lang w:eastAsia="zh-CN"/>
        </w:rPr>
        <w:t>区林业和草原分局</w:t>
      </w:r>
      <w:r>
        <w:rPr>
          <w:rFonts w:hint="eastAsia" w:ascii="仿宋" w:hAnsi="仿宋" w:eastAsia="仿宋" w:cs="仿宋"/>
          <w:szCs w:val="32"/>
        </w:rPr>
        <w:t>可以按程序提请以区森防指名义部署相关防灭火工作。</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主要职责为：</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（1）贯彻落实玉泉区党委、玉泉区人民政府的决定事项，及时向玉泉区党委、玉泉区人民政府报告重要情况和提出建议；</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（2）负责牵头组织各相关部门共同做好玉泉区森林草原防灭火应急预案的编制、修订和实施工作；指导所属乡镇、林场制订、修订森林草原火灾应急处置办法；</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（3）研究制定应对玉泉区森林草原火灾事件的政策措施和指导意见；</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（4）负责指挥玉泉区森林草原火灾的具体应对工作，根据具体的火灾事故情况，统一安排，使各成员部门通力协作，充分发挥所有成员的作用，确保应急救援工作高效、有序进行；</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（5）负责向玉泉区党委、玉泉区人民政府提出或结束森林草原火灾应急状态；</w:t>
      </w:r>
    </w:p>
    <w:p>
      <w:pPr>
        <w:pStyle w:val="2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（6）完成玉泉区人民政府交办的其他森林草原防灭火工作。</w:t>
      </w:r>
    </w:p>
    <w:p>
      <w:pPr>
        <w:ind w:firstLine="64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辖区镇政府、街道办事处按照“上下基本对应”的要求，设立森林草原防灭火指挥机构，负责组织、协调和指导本行政区域森林草原防灭火工作。</w:t>
      </w:r>
    </w:p>
    <w:p>
      <w:pPr>
        <w:pStyle w:val="9"/>
        <w:ind w:firstLine="640"/>
        <w:rPr>
          <w:rFonts w:ascii="仿宋" w:hAnsi="仿宋" w:eastAsia="仿宋" w:cs="仿宋"/>
        </w:rPr>
      </w:pPr>
      <w:bookmarkStart w:id="94" w:name="_Toc29588"/>
      <w:bookmarkStart w:id="95" w:name="_Toc19929"/>
      <w:bookmarkStart w:id="96" w:name="_Toc15637"/>
      <w:bookmarkStart w:id="97" w:name="_Toc32057"/>
      <w:bookmarkStart w:id="98" w:name="_Toc10029"/>
      <w:bookmarkStart w:id="99" w:name="_Toc23128"/>
      <w:bookmarkStart w:id="100" w:name="_Toc18924"/>
      <w:r>
        <w:rPr>
          <w:rFonts w:hint="eastAsia" w:ascii="仿宋" w:hAnsi="仿宋" w:eastAsia="仿宋" w:cs="仿宋"/>
        </w:rPr>
        <w:t>3.2指挥单位分工</w:t>
      </w:r>
      <w:bookmarkEnd w:id="94"/>
      <w:bookmarkEnd w:id="95"/>
    </w:p>
    <w:p>
      <w:pPr>
        <w:ind w:firstLine="640"/>
        <w:rPr>
          <w:rFonts w:ascii="仿宋" w:hAnsi="仿宋" w:eastAsia="仿宋" w:cs="仿宋"/>
          <w:szCs w:val="32"/>
        </w:rPr>
      </w:pPr>
      <w:r>
        <w:rPr>
          <w:rFonts w:hint="eastAsia" w:ascii="仿宋" w:hAnsi="仿宋" w:eastAsia="仿宋" w:cs="仿宋"/>
          <w:szCs w:val="32"/>
        </w:rPr>
        <w:t>玉泉区应急管理局协助市党委、政府组织较大以上森林草原火灾应急处置工作；</w:t>
      </w:r>
    </w:p>
    <w:p>
      <w:pPr>
        <w:ind w:firstLine="640"/>
        <w:rPr>
          <w:rFonts w:ascii="仿宋" w:hAnsi="仿宋" w:eastAsia="仿宋" w:cs="仿宋"/>
          <w:szCs w:val="32"/>
        </w:rPr>
      </w:pPr>
      <w:r>
        <w:rPr>
          <w:rFonts w:hint="eastAsia" w:ascii="仿宋" w:hAnsi="仿宋" w:eastAsia="仿宋" w:cs="仿宋"/>
          <w:szCs w:val="32"/>
          <w:lang w:eastAsia="zh-CN"/>
        </w:rPr>
        <w:t>区林业和草原分局</w:t>
      </w:r>
      <w:r>
        <w:rPr>
          <w:rFonts w:hint="eastAsia" w:ascii="仿宋" w:hAnsi="仿宋" w:eastAsia="仿宋" w:cs="仿宋"/>
          <w:szCs w:val="32"/>
        </w:rPr>
        <w:t>履行森林草原防火工作行业管理责任，具体负责森林草原火灾预防相关工作，指导开展防火巡护、火源管理、日常检查、宣传教育、防火设施建设等，同时负责森林草原火情早期处理相关工作。</w:t>
      </w:r>
    </w:p>
    <w:p>
      <w:pPr>
        <w:ind w:firstLine="640"/>
        <w:rPr>
          <w:rFonts w:ascii="仿宋" w:hAnsi="仿宋" w:eastAsia="仿宋" w:cs="仿宋"/>
          <w:szCs w:val="32"/>
        </w:rPr>
      </w:pPr>
      <w:r>
        <w:rPr>
          <w:rFonts w:hint="eastAsia" w:ascii="仿宋" w:hAnsi="仿宋" w:eastAsia="仿宋" w:cs="仿宋"/>
          <w:szCs w:val="32"/>
        </w:rPr>
        <w:t>区公安分局负责依法指导公安机关开展火案侦破工作，协同有关部门开展违规用火处罚工作，组织对森林草原火灾可能造成的重大社会治安和稳定问题进行预判，并指导公安机关协同有关部门做好防范处置工作；</w:t>
      </w:r>
    </w:p>
    <w:p>
      <w:pPr>
        <w:ind w:firstLine="640"/>
        <w:rPr>
          <w:rFonts w:ascii="仿宋" w:hAnsi="仿宋" w:eastAsia="仿宋" w:cs="仿宋"/>
          <w:szCs w:val="32"/>
        </w:rPr>
      </w:pPr>
      <w:r>
        <w:rPr>
          <w:rFonts w:hint="eastAsia" w:ascii="仿宋" w:hAnsi="仿宋" w:eastAsia="仿宋" w:cs="仿宋"/>
          <w:szCs w:val="32"/>
        </w:rPr>
        <w:t>玉泉区森林草原防灭火指挥部办公室发挥牵头抓总作用，强化部门联动，做到高效协同，增强工作合力。区森防指其他成员单位承担的具体防灭火任务按各自部门职责执行。</w:t>
      </w:r>
    </w:p>
    <w:p>
      <w:pPr>
        <w:pStyle w:val="9"/>
        <w:ind w:firstLine="640"/>
        <w:rPr>
          <w:rFonts w:ascii="仿宋" w:hAnsi="仿宋" w:eastAsia="仿宋" w:cs="仿宋"/>
        </w:rPr>
      </w:pPr>
      <w:bookmarkStart w:id="101" w:name="_Toc22708"/>
      <w:bookmarkStart w:id="102" w:name="_Toc3315"/>
      <w:r>
        <w:rPr>
          <w:rFonts w:hint="eastAsia" w:ascii="仿宋" w:hAnsi="仿宋" w:eastAsia="仿宋" w:cs="仿宋"/>
        </w:rPr>
        <w:t>3.4 扑救指挥</w:t>
      </w:r>
      <w:bookmarkEnd w:id="96"/>
      <w:bookmarkEnd w:id="97"/>
      <w:bookmarkEnd w:id="98"/>
      <w:bookmarkEnd w:id="99"/>
      <w:bookmarkEnd w:id="100"/>
      <w:bookmarkEnd w:id="101"/>
      <w:bookmarkEnd w:id="102"/>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lang w:val="en-US" w:eastAsia="zh-CN"/>
        </w:rPr>
        <w:t>玉泉区</w:t>
      </w:r>
      <w:r>
        <w:rPr>
          <w:rFonts w:hint="eastAsia" w:ascii="仿宋" w:hAnsi="仿宋" w:eastAsia="仿宋" w:cs="仿宋"/>
          <w:szCs w:val="32"/>
        </w:rPr>
        <w:t>森林草原火灾扑救工作由各级森林草原防灭火指挥机构负责指挥。跨</w:t>
      </w:r>
      <w:r>
        <w:rPr>
          <w:rFonts w:hint="eastAsia" w:ascii="仿宋" w:hAnsi="仿宋" w:eastAsia="仿宋" w:cs="仿宋"/>
          <w:szCs w:val="32"/>
          <w:lang w:val="en-US" w:eastAsia="zh-CN"/>
        </w:rPr>
        <w:t>镇、街道</w:t>
      </w:r>
      <w:r>
        <w:rPr>
          <w:rFonts w:hint="eastAsia" w:ascii="仿宋" w:hAnsi="仿宋" w:eastAsia="仿宋" w:cs="仿宋"/>
          <w:szCs w:val="32"/>
        </w:rPr>
        <w:t>森林草原火灾扑救工作，由</w:t>
      </w:r>
      <w:r>
        <w:rPr>
          <w:rFonts w:hint="eastAsia" w:ascii="仿宋" w:hAnsi="仿宋" w:eastAsia="仿宋" w:cs="仿宋"/>
          <w:szCs w:val="32"/>
          <w:lang w:val="en-US" w:eastAsia="zh-CN"/>
        </w:rPr>
        <w:t>玉泉区</w:t>
      </w:r>
      <w:r>
        <w:rPr>
          <w:rFonts w:hint="eastAsia" w:ascii="仿宋" w:hAnsi="仿宋" w:eastAsia="仿宋" w:cs="仿宋"/>
          <w:szCs w:val="32"/>
        </w:rPr>
        <w:t>森林草原防灭火指挥机构</w:t>
      </w:r>
      <w:r>
        <w:rPr>
          <w:rFonts w:hint="eastAsia" w:ascii="仿宋" w:hAnsi="仿宋" w:eastAsia="仿宋" w:cs="仿宋"/>
          <w:szCs w:val="32"/>
          <w:lang w:val="en-US" w:eastAsia="zh-CN"/>
        </w:rPr>
        <w:t>统一</w:t>
      </w:r>
      <w:r>
        <w:rPr>
          <w:rFonts w:hint="eastAsia" w:ascii="仿宋" w:hAnsi="仿宋" w:eastAsia="仿宋" w:cs="仿宋"/>
          <w:szCs w:val="32"/>
        </w:rPr>
        <w:t>指挥，相应镇政府、街道办事处森林草原防灭火指挥机构在</w:t>
      </w:r>
      <w:r>
        <w:rPr>
          <w:rFonts w:hint="eastAsia" w:ascii="仿宋" w:hAnsi="仿宋" w:eastAsia="仿宋" w:cs="仿宋"/>
          <w:szCs w:val="32"/>
          <w:lang w:val="en-US" w:eastAsia="zh-CN"/>
        </w:rPr>
        <w:t>玉泉区</w:t>
      </w:r>
      <w:r>
        <w:rPr>
          <w:rFonts w:hint="eastAsia" w:ascii="仿宋" w:hAnsi="仿宋" w:eastAsia="仿宋" w:cs="仿宋"/>
          <w:szCs w:val="32"/>
        </w:rPr>
        <w:t>森林草原防灭火指挥机构统一指挥下，承担各自行政区内的指挥工作。</w:t>
      </w:r>
    </w:p>
    <w:p>
      <w:pPr>
        <w:ind w:firstLine="640"/>
        <w:rPr>
          <w:rFonts w:ascii="仿宋" w:hAnsi="仿宋" w:eastAsia="仿宋" w:cs="仿宋"/>
          <w:szCs w:val="32"/>
        </w:rPr>
      </w:pPr>
      <w:r>
        <w:rPr>
          <w:rFonts w:hint="eastAsia" w:ascii="仿宋" w:hAnsi="仿宋" w:eastAsia="仿宋" w:cs="仿宋"/>
          <w:szCs w:val="32"/>
        </w:rPr>
        <w:t>各镇政府、街道办事处专业防扑火队伍、半专业防扑火队伍、综合性消防救援队伍执行当地森林草原火灾扑救任务，早期火情处置接受火灾发生地森林草原防灭火指挥机构的指挥；跨区执行森林草原火灾扑救任务的，由当地火场前线指挥部统一指挥，或者根据市森防指明确的指挥关系执行。</w:t>
      </w:r>
    </w:p>
    <w:p>
      <w:pPr>
        <w:ind w:firstLine="640"/>
        <w:rPr>
          <w:rFonts w:ascii="仿宋" w:hAnsi="仿宋" w:eastAsia="仿宋" w:cs="仿宋"/>
          <w:szCs w:val="32"/>
        </w:rPr>
      </w:pPr>
      <w:r>
        <w:rPr>
          <w:rFonts w:hint="eastAsia" w:ascii="仿宋" w:hAnsi="仿宋" w:eastAsia="仿宋" w:cs="仿宋"/>
          <w:szCs w:val="32"/>
        </w:rPr>
        <w:t>森林草原防灭火指挥机构根据扑救需要，在森林草原火灾现场成立火场前线指挥部，火场前线指挥部是火灾扑救现场最高指挥决策机构，由区长担任总指挥，合理配置工作组，重视发挥专家作用；有区消防救援队伍参与灭火的，其最高指挥员进入火场前线指挥部，参与决策和现场组织指挥，发挥专业作用。参加前方扑火的单位和个人要服从火场前线指挥部的统一指挥。根据任务变化和</w:t>
      </w:r>
      <w:r>
        <w:rPr>
          <w:rFonts w:hint="eastAsia" w:ascii="仿宋" w:hAnsi="仿宋" w:eastAsia="仿宋" w:cs="仿宋"/>
          <w:szCs w:val="32"/>
          <w:lang w:val="en-US" w:eastAsia="zh-CN"/>
        </w:rPr>
        <w:t>森</w:t>
      </w:r>
      <w:r>
        <w:rPr>
          <w:rFonts w:hint="eastAsia" w:ascii="仿宋" w:hAnsi="仿宋" w:eastAsia="仿宋" w:cs="仿宋"/>
          <w:szCs w:val="32"/>
        </w:rPr>
        <w:t xml:space="preserve">林草原火灾扑救力量规模，相应提高指挥等级。 </w:t>
      </w:r>
    </w:p>
    <w:p>
      <w:pPr>
        <w:ind w:firstLine="640"/>
        <w:rPr>
          <w:rFonts w:ascii="仿宋" w:hAnsi="仿宋" w:eastAsia="仿宋" w:cs="仿宋"/>
          <w:szCs w:val="32"/>
        </w:rPr>
      </w:pPr>
      <w:r>
        <w:rPr>
          <w:rFonts w:hint="eastAsia" w:ascii="仿宋" w:hAnsi="仿宋" w:eastAsia="仿宋" w:cs="仿宋"/>
          <w:szCs w:val="32"/>
        </w:rPr>
        <w:t>森林草原火灾扑救指挥坚持属地为主、统一指挥，协同联动、专业指挥，生命至上、安全指挥，因险而异、提级指挥的指挥原则。现场指挥的内容和流程，纵向上按照态势研判、力量调用、任务部署、组织扑救、清理看守、验收交接等步骤进行，横向上同步开展指挥控制、</w:t>
      </w:r>
      <w:r>
        <w:rPr>
          <w:rFonts w:hint="eastAsia" w:ascii="仿宋" w:hAnsi="仿宋" w:eastAsia="仿宋" w:cs="仿宋"/>
          <w:szCs w:val="32"/>
          <w:lang w:val="en-US" w:eastAsia="zh-CN"/>
        </w:rPr>
        <w:t>森</w:t>
      </w:r>
      <w:r>
        <w:rPr>
          <w:rFonts w:hint="eastAsia" w:ascii="仿宋" w:hAnsi="仿宋" w:eastAsia="仿宋" w:cs="仿宋"/>
          <w:szCs w:val="32"/>
        </w:rPr>
        <w:t>林草原火灾扑救、火场管控、信息发布、宣传报道、综合保障等具体工作。坚持未经训练的非专业人员不打火，高温大风等不利气象条件不打火，可视度差的夜间等不利时段不打火，悬崖陡坡沟深谷窄等不利地形不打火。</w:t>
      </w:r>
    </w:p>
    <w:p>
      <w:pPr>
        <w:pStyle w:val="9"/>
        <w:ind w:firstLine="640"/>
        <w:rPr>
          <w:rFonts w:ascii="仿宋" w:hAnsi="仿宋" w:eastAsia="仿宋" w:cs="仿宋"/>
        </w:rPr>
      </w:pPr>
      <w:bookmarkStart w:id="103" w:name="_Toc6204"/>
      <w:bookmarkStart w:id="104" w:name="_Toc3591"/>
      <w:bookmarkStart w:id="105" w:name="_Toc17889"/>
      <w:bookmarkStart w:id="106" w:name="_Toc10149"/>
      <w:bookmarkStart w:id="107" w:name="_Toc23908"/>
      <w:bookmarkStart w:id="108" w:name="_Toc7876"/>
      <w:bookmarkStart w:id="109" w:name="_Toc2279"/>
      <w:bookmarkStart w:id="110" w:name="_Toc2044"/>
      <w:bookmarkStart w:id="111" w:name="_Toc16509"/>
      <w:bookmarkStart w:id="112" w:name="_Toc5769"/>
      <w:bookmarkStart w:id="113" w:name="_Toc11788"/>
      <w:bookmarkStart w:id="114" w:name="_Toc6328"/>
      <w:r>
        <w:rPr>
          <w:rFonts w:hint="eastAsia" w:ascii="仿宋" w:hAnsi="仿宋" w:eastAsia="仿宋" w:cs="仿宋"/>
        </w:rPr>
        <w:t>3.5 指挥信息系统</w:t>
      </w:r>
      <w:bookmarkEnd w:id="103"/>
      <w:bookmarkEnd w:id="104"/>
      <w:bookmarkEnd w:id="105"/>
      <w:bookmarkEnd w:id="106"/>
      <w:bookmarkEnd w:id="107"/>
      <w:bookmarkEnd w:id="108"/>
      <w:bookmarkEnd w:id="109"/>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区森林草原防灭火指挥部根据扑火指挥需要和既有条件，着眼提高指挥效能，组织建立指挥信息系统。组织指挥信息系统要与组织指挥体系和指挥机构的编成相适应，以当地指挥信息系统为依托，做到上下贯通、左右联接、功能齐全、安全可靠，确保实施高效、不间断的指挥。</w:t>
      </w:r>
    </w:p>
    <w:p>
      <w:pPr>
        <w:pStyle w:val="9"/>
        <w:ind w:firstLine="640"/>
        <w:rPr>
          <w:rFonts w:ascii="仿宋" w:hAnsi="仿宋" w:eastAsia="仿宋" w:cs="仿宋"/>
        </w:rPr>
      </w:pPr>
      <w:bookmarkStart w:id="115" w:name="_Toc153"/>
      <w:bookmarkStart w:id="116" w:name="_Toc7640"/>
      <w:r>
        <w:rPr>
          <w:rFonts w:hint="eastAsia" w:ascii="仿宋" w:hAnsi="仿宋" w:eastAsia="仿宋" w:cs="仿宋"/>
        </w:rPr>
        <w:t xml:space="preserve">3.6 </w:t>
      </w:r>
      <w:bookmarkEnd w:id="110"/>
      <w:bookmarkEnd w:id="111"/>
      <w:r>
        <w:rPr>
          <w:rFonts w:hint="eastAsia" w:ascii="仿宋" w:hAnsi="仿宋" w:eastAsia="仿宋" w:cs="仿宋"/>
        </w:rPr>
        <w:t>各工作组及职责</w:t>
      </w:r>
      <w:bookmarkEnd w:id="115"/>
      <w:bookmarkEnd w:id="116"/>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区森林草原防灭火指挥部根据需要设立火场前线指挥部，下设相应的工作组。各工作组组成及任务分工如下： </w:t>
      </w:r>
    </w:p>
    <w:p>
      <w:pPr>
        <w:ind w:firstLine="640"/>
        <w:rPr>
          <w:rFonts w:ascii="仿宋" w:hAnsi="仿宋" w:eastAsia="仿宋" w:cs="仿宋"/>
          <w:szCs w:val="32"/>
        </w:rPr>
      </w:pPr>
      <w:r>
        <w:rPr>
          <w:rFonts w:hint="eastAsia" w:ascii="仿宋" w:hAnsi="仿宋" w:eastAsia="仿宋" w:cs="仿宋"/>
          <w:szCs w:val="32"/>
        </w:rPr>
        <w:t xml:space="preserve">（一）综合协调组 </w:t>
      </w:r>
    </w:p>
    <w:p>
      <w:pPr>
        <w:ind w:firstLine="640"/>
        <w:rPr>
          <w:rFonts w:ascii="仿宋" w:hAnsi="仿宋" w:eastAsia="仿宋" w:cs="仿宋"/>
          <w:szCs w:val="32"/>
        </w:rPr>
      </w:pPr>
      <w:r>
        <w:rPr>
          <w:rFonts w:hint="eastAsia" w:ascii="仿宋" w:hAnsi="仿宋" w:eastAsia="仿宋" w:cs="仿宋"/>
          <w:szCs w:val="32"/>
        </w:rPr>
        <w:t>由</w:t>
      </w:r>
      <w:r>
        <w:rPr>
          <w:rFonts w:hint="eastAsia" w:ascii="仿宋" w:hAnsi="仿宋" w:eastAsia="仿宋" w:cs="仿宋"/>
          <w:szCs w:val="32"/>
          <w:lang w:eastAsia="zh-CN"/>
        </w:rPr>
        <w:t>区应急管理局</w:t>
      </w:r>
      <w:r>
        <w:rPr>
          <w:rFonts w:hint="eastAsia" w:ascii="仿宋" w:hAnsi="仿宋" w:eastAsia="仿宋" w:cs="仿宋"/>
          <w:szCs w:val="32"/>
        </w:rPr>
        <w:t>牵头，区发展改革委、公安分局、</w:t>
      </w:r>
      <w:r>
        <w:rPr>
          <w:rFonts w:hint="eastAsia" w:ascii="仿宋" w:hAnsi="仿宋" w:eastAsia="仿宋" w:cs="仿宋"/>
          <w:szCs w:val="32"/>
          <w:lang w:eastAsia="zh-CN"/>
        </w:rPr>
        <w:t>区林业和草原分局</w:t>
      </w:r>
      <w:r>
        <w:rPr>
          <w:rFonts w:hint="eastAsia" w:ascii="仿宋" w:hAnsi="仿宋" w:eastAsia="仿宋" w:cs="仿宋"/>
          <w:szCs w:val="32"/>
        </w:rPr>
        <w:t xml:space="preserve">等部门和单位参加。 </w:t>
      </w:r>
    </w:p>
    <w:p>
      <w:pPr>
        <w:ind w:firstLine="640"/>
        <w:rPr>
          <w:rFonts w:ascii="仿宋" w:hAnsi="仿宋" w:eastAsia="仿宋" w:cs="仿宋"/>
          <w:szCs w:val="32"/>
        </w:rPr>
      </w:pPr>
      <w:r>
        <w:rPr>
          <w:rFonts w:hint="eastAsia" w:ascii="仿宋" w:hAnsi="仿宋" w:eastAsia="仿宋" w:cs="仿宋"/>
          <w:szCs w:val="32"/>
        </w:rPr>
        <w:t xml:space="preserve">主要职责：传达贯彻市党委、政府指示；密切跟踪汇总森林草原火情和扑救进展，及时向市党委、政府报告，并通报区森林草原防灭火指挥部各成员单位；综合协调内部日常事务，督办重要工作。 </w:t>
      </w:r>
    </w:p>
    <w:p>
      <w:pPr>
        <w:ind w:firstLine="640"/>
        <w:rPr>
          <w:rFonts w:ascii="仿宋" w:hAnsi="仿宋" w:eastAsia="仿宋" w:cs="仿宋"/>
          <w:szCs w:val="32"/>
        </w:rPr>
      </w:pPr>
      <w:r>
        <w:rPr>
          <w:rFonts w:hint="eastAsia" w:ascii="仿宋" w:hAnsi="仿宋" w:eastAsia="仿宋" w:cs="仿宋"/>
          <w:szCs w:val="32"/>
        </w:rPr>
        <w:t>（二）</w:t>
      </w:r>
      <w:r>
        <w:rPr>
          <w:rFonts w:hint="eastAsia" w:ascii="仿宋" w:hAnsi="仿宋" w:eastAsia="仿宋" w:cs="仿宋"/>
          <w:szCs w:val="32"/>
          <w:lang w:val="en-US" w:eastAsia="zh-CN"/>
        </w:rPr>
        <w:t>火灾扑救</w:t>
      </w:r>
      <w:r>
        <w:rPr>
          <w:rFonts w:hint="eastAsia" w:ascii="仿宋" w:hAnsi="仿宋" w:eastAsia="仿宋" w:cs="仿宋"/>
          <w:szCs w:val="32"/>
        </w:rPr>
        <w:t xml:space="preserve">组 </w:t>
      </w:r>
    </w:p>
    <w:p>
      <w:pPr>
        <w:ind w:firstLine="640"/>
        <w:rPr>
          <w:rFonts w:ascii="仿宋" w:hAnsi="仿宋" w:eastAsia="仿宋" w:cs="仿宋"/>
          <w:szCs w:val="32"/>
        </w:rPr>
      </w:pPr>
      <w:r>
        <w:rPr>
          <w:rFonts w:hint="eastAsia" w:ascii="仿宋" w:hAnsi="仿宋" w:eastAsia="仿宋" w:cs="仿宋"/>
          <w:szCs w:val="32"/>
        </w:rPr>
        <w:t>由</w:t>
      </w:r>
      <w:r>
        <w:rPr>
          <w:rFonts w:hint="eastAsia" w:ascii="仿宋" w:hAnsi="仿宋" w:eastAsia="仿宋" w:cs="仿宋"/>
          <w:szCs w:val="32"/>
          <w:lang w:eastAsia="zh-CN"/>
        </w:rPr>
        <w:t>区应急管理局</w:t>
      </w:r>
      <w:r>
        <w:rPr>
          <w:rFonts w:hint="eastAsia" w:ascii="仿宋" w:hAnsi="仿宋" w:eastAsia="仿宋" w:cs="仿宋"/>
          <w:szCs w:val="32"/>
        </w:rPr>
        <w:t>牵头，</w:t>
      </w:r>
      <w:r>
        <w:rPr>
          <w:rFonts w:hint="eastAsia" w:ascii="仿宋" w:hAnsi="仿宋" w:eastAsia="仿宋" w:cs="仿宋"/>
          <w:szCs w:val="32"/>
          <w:lang w:eastAsia="zh-CN"/>
        </w:rPr>
        <w:t>区林业和草原分局</w:t>
      </w:r>
      <w:r>
        <w:rPr>
          <w:rFonts w:hint="eastAsia" w:ascii="仿宋" w:hAnsi="仿宋" w:eastAsia="仿宋" w:cs="仿宋"/>
          <w:szCs w:val="32"/>
        </w:rPr>
        <w:t xml:space="preserve">、公安分局、消防直属大队、消防救援大队等部门和单位参加。 </w:t>
      </w:r>
    </w:p>
    <w:p>
      <w:pPr>
        <w:ind w:firstLine="640"/>
        <w:rPr>
          <w:rFonts w:ascii="仿宋" w:hAnsi="仿宋" w:eastAsia="仿宋" w:cs="仿宋"/>
          <w:szCs w:val="32"/>
        </w:rPr>
      </w:pPr>
      <w:r>
        <w:rPr>
          <w:rFonts w:hint="eastAsia" w:ascii="仿宋" w:hAnsi="仿宋" w:eastAsia="仿宋" w:cs="仿宋"/>
          <w:szCs w:val="32"/>
        </w:rPr>
        <w:t>主要职责：指导制定</w:t>
      </w:r>
      <w:r>
        <w:rPr>
          <w:rFonts w:hint="eastAsia" w:ascii="仿宋" w:hAnsi="仿宋" w:eastAsia="仿宋" w:cs="仿宋"/>
          <w:szCs w:val="32"/>
          <w:lang w:val="en-US" w:eastAsia="zh-CN"/>
        </w:rPr>
        <w:t>森林草原火灾扑救</w:t>
      </w:r>
      <w:r>
        <w:rPr>
          <w:rFonts w:hint="eastAsia" w:ascii="仿宋" w:hAnsi="仿宋" w:eastAsia="仿宋" w:cs="仿宋"/>
          <w:szCs w:val="32"/>
        </w:rPr>
        <w:t>方案和组织实施工作；根据森林草原</w:t>
      </w:r>
      <w:r>
        <w:rPr>
          <w:rFonts w:hint="eastAsia" w:ascii="仿宋" w:hAnsi="仿宋" w:eastAsia="仿宋" w:cs="仿宋"/>
          <w:szCs w:val="32"/>
          <w:lang w:val="en-US" w:eastAsia="zh-CN"/>
        </w:rPr>
        <w:t>火势</w:t>
      </w:r>
      <w:r>
        <w:rPr>
          <w:rFonts w:hint="eastAsia" w:ascii="仿宋" w:hAnsi="仿宋" w:eastAsia="仿宋" w:cs="仿宋"/>
          <w:szCs w:val="32"/>
        </w:rPr>
        <w:t>变化，适时提出调整</w:t>
      </w:r>
      <w:r>
        <w:rPr>
          <w:rFonts w:hint="eastAsia" w:ascii="仿宋" w:hAnsi="仿宋" w:eastAsia="仿宋" w:cs="仿宋"/>
          <w:szCs w:val="32"/>
          <w:lang w:val="en-US" w:eastAsia="zh-CN"/>
        </w:rPr>
        <w:t>扑救</w:t>
      </w:r>
      <w:r>
        <w:rPr>
          <w:rFonts w:hint="eastAsia" w:ascii="仿宋" w:hAnsi="仿宋" w:eastAsia="仿宋" w:cs="仿宋"/>
          <w:szCs w:val="32"/>
        </w:rPr>
        <w:t>力量的建议；协调调度森林草原火灾扑救队伍和物资参加</w:t>
      </w:r>
      <w:r>
        <w:rPr>
          <w:rFonts w:hint="eastAsia" w:ascii="仿宋" w:hAnsi="仿宋" w:eastAsia="仿宋" w:cs="仿宋"/>
          <w:szCs w:val="32"/>
          <w:lang w:val="en-US" w:eastAsia="zh-CN"/>
        </w:rPr>
        <w:t>森林草原火灾扑救工作</w:t>
      </w:r>
      <w:r>
        <w:rPr>
          <w:rFonts w:hint="eastAsia" w:ascii="仿宋" w:hAnsi="仿宋" w:eastAsia="仿宋" w:cs="仿宋"/>
          <w:szCs w:val="32"/>
        </w:rPr>
        <w:t>；指导社会森林草原火灾扑救</w:t>
      </w:r>
      <w:r>
        <w:rPr>
          <w:rFonts w:hint="eastAsia" w:ascii="仿宋" w:hAnsi="仿宋" w:eastAsia="仿宋" w:cs="仿宋"/>
          <w:szCs w:val="32"/>
          <w:lang w:val="en-US" w:eastAsia="zh-CN"/>
        </w:rPr>
        <w:t>力量</w:t>
      </w:r>
      <w:r>
        <w:rPr>
          <w:rFonts w:hint="eastAsia" w:ascii="仿宋" w:hAnsi="仿宋" w:eastAsia="仿宋" w:cs="仿宋"/>
          <w:szCs w:val="32"/>
        </w:rPr>
        <w:t>参与</w:t>
      </w:r>
      <w:r>
        <w:rPr>
          <w:rFonts w:hint="eastAsia" w:ascii="仿宋" w:hAnsi="仿宋" w:eastAsia="仿宋" w:cs="仿宋"/>
          <w:szCs w:val="32"/>
          <w:lang w:val="en-US" w:eastAsia="zh-CN"/>
        </w:rPr>
        <w:t>森林草原火灾扑救</w:t>
      </w:r>
      <w:r>
        <w:rPr>
          <w:rFonts w:hint="eastAsia" w:ascii="仿宋" w:hAnsi="仿宋" w:eastAsia="仿宋" w:cs="仿宋"/>
          <w:szCs w:val="32"/>
        </w:rPr>
        <w:t>；</w:t>
      </w:r>
    </w:p>
    <w:p>
      <w:pPr>
        <w:ind w:firstLine="640"/>
        <w:rPr>
          <w:rFonts w:ascii="仿宋" w:hAnsi="仿宋" w:eastAsia="仿宋" w:cs="仿宋"/>
          <w:szCs w:val="32"/>
        </w:rPr>
      </w:pPr>
      <w:r>
        <w:rPr>
          <w:rFonts w:hint="eastAsia" w:ascii="仿宋" w:hAnsi="仿宋" w:eastAsia="仿宋" w:cs="仿宋"/>
          <w:szCs w:val="32"/>
        </w:rPr>
        <w:t xml:space="preserve">（三）医疗救治组 </w:t>
      </w:r>
    </w:p>
    <w:p>
      <w:pPr>
        <w:ind w:firstLine="640"/>
        <w:rPr>
          <w:rFonts w:ascii="仿宋" w:hAnsi="仿宋" w:eastAsia="仿宋" w:cs="仿宋"/>
          <w:szCs w:val="32"/>
        </w:rPr>
      </w:pPr>
      <w:r>
        <w:rPr>
          <w:rFonts w:hint="eastAsia" w:ascii="仿宋" w:hAnsi="仿宋" w:eastAsia="仿宋" w:cs="仿宋"/>
          <w:szCs w:val="32"/>
        </w:rPr>
        <w:t xml:space="preserve">由区卫生健康委牵头，相关部门和单位参加。 </w:t>
      </w:r>
    </w:p>
    <w:p>
      <w:pPr>
        <w:ind w:firstLine="640"/>
        <w:rPr>
          <w:rFonts w:ascii="仿宋" w:hAnsi="仿宋" w:eastAsia="仿宋" w:cs="仿宋"/>
          <w:szCs w:val="32"/>
        </w:rPr>
      </w:pPr>
      <w:r>
        <w:rPr>
          <w:rFonts w:hint="eastAsia" w:ascii="仿宋" w:hAnsi="仿宋" w:eastAsia="仿宋" w:cs="仿宋"/>
          <w:szCs w:val="32"/>
        </w:rPr>
        <w:t xml:space="preserve">主要职责：组织指导灾区医疗救助和卫生防疫工作；统筹协调医疗救护队伍和医疗器械、药品支援灾区；组织指导灾区转运救治伤员、做好伤亡统计；指导灾区、安置点防范和控制各种传染病等疫情暴发流行。 </w:t>
      </w:r>
    </w:p>
    <w:p>
      <w:pPr>
        <w:ind w:firstLine="640"/>
        <w:rPr>
          <w:rFonts w:ascii="仿宋" w:hAnsi="仿宋" w:eastAsia="仿宋" w:cs="仿宋"/>
          <w:szCs w:val="32"/>
        </w:rPr>
      </w:pPr>
      <w:r>
        <w:rPr>
          <w:rFonts w:hint="eastAsia" w:ascii="仿宋" w:hAnsi="仿宋" w:eastAsia="仿宋" w:cs="仿宋"/>
          <w:szCs w:val="32"/>
        </w:rPr>
        <w:t xml:space="preserve">（四）火灾监测组 </w:t>
      </w:r>
    </w:p>
    <w:p>
      <w:pPr>
        <w:ind w:firstLine="640"/>
        <w:rPr>
          <w:rFonts w:ascii="仿宋" w:hAnsi="仿宋" w:eastAsia="仿宋" w:cs="仿宋"/>
          <w:szCs w:val="32"/>
        </w:rPr>
      </w:pPr>
      <w:r>
        <w:rPr>
          <w:rFonts w:hint="eastAsia" w:ascii="仿宋" w:hAnsi="仿宋" w:eastAsia="仿宋" w:cs="仿宋"/>
          <w:szCs w:val="32"/>
        </w:rPr>
        <w:t>由</w:t>
      </w:r>
      <w:r>
        <w:rPr>
          <w:rFonts w:hint="eastAsia" w:ascii="仿宋" w:hAnsi="仿宋" w:eastAsia="仿宋" w:cs="仿宋"/>
          <w:szCs w:val="32"/>
          <w:lang w:eastAsia="zh-CN"/>
        </w:rPr>
        <w:t>区林业和草原分局</w:t>
      </w:r>
      <w:r>
        <w:rPr>
          <w:rFonts w:hint="eastAsia" w:ascii="仿宋" w:hAnsi="仿宋" w:eastAsia="仿宋" w:cs="仿宋"/>
          <w:szCs w:val="32"/>
        </w:rPr>
        <w:t>牵头，</w:t>
      </w:r>
      <w:r>
        <w:rPr>
          <w:rFonts w:hint="eastAsia" w:ascii="仿宋" w:hAnsi="仿宋" w:eastAsia="仿宋" w:cs="仿宋"/>
          <w:szCs w:val="32"/>
          <w:lang w:eastAsia="zh-CN"/>
        </w:rPr>
        <w:t>区应急管理局</w:t>
      </w:r>
      <w:r>
        <w:rPr>
          <w:rFonts w:hint="eastAsia" w:ascii="仿宋" w:hAnsi="仿宋" w:eastAsia="仿宋" w:cs="仿宋"/>
          <w:szCs w:val="32"/>
        </w:rPr>
        <w:t>等</w:t>
      </w:r>
      <w:r>
        <w:rPr>
          <w:rFonts w:hint="eastAsia" w:ascii="仿宋" w:hAnsi="仿宋" w:eastAsia="仿宋" w:cs="仿宋"/>
          <w:szCs w:val="32"/>
          <w:lang w:eastAsia="zh-CN"/>
        </w:rPr>
        <w:t>、</w:t>
      </w:r>
      <w:r>
        <w:rPr>
          <w:rFonts w:hint="eastAsia" w:ascii="仿宋" w:hAnsi="仿宋" w:eastAsia="仿宋" w:cs="仿宋"/>
          <w:szCs w:val="32"/>
          <w:lang w:val="en-US" w:eastAsia="zh-CN"/>
        </w:rPr>
        <w:t>气象部门等相关</w:t>
      </w:r>
      <w:r>
        <w:rPr>
          <w:rFonts w:hint="eastAsia" w:ascii="仿宋" w:hAnsi="仿宋" w:eastAsia="仿宋" w:cs="仿宋"/>
          <w:szCs w:val="32"/>
        </w:rPr>
        <w:t xml:space="preserve">部门和单位参加。 </w:t>
      </w:r>
    </w:p>
    <w:p>
      <w:pPr>
        <w:ind w:firstLine="640"/>
        <w:rPr>
          <w:rFonts w:ascii="仿宋" w:hAnsi="仿宋" w:eastAsia="仿宋" w:cs="仿宋"/>
          <w:szCs w:val="32"/>
        </w:rPr>
      </w:pPr>
      <w:r>
        <w:rPr>
          <w:rFonts w:hint="eastAsia" w:ascii="仿宋" w:hAnsi="仿宋" w:eastAsia="仿宋" w:cs="仿宋"/>
          <w:szCs w:val="32"/>
        </w:rPr>
        <w:t xml:space="preserve">主要职责：组织火灾风险监测，指导次生衍生灾害防范；调度相关技术力量和设备，监视灾情发展；指导灾害防御和灾害隐患监测预警。 </w:t>
      </w:r>
    </w:p>
    <w:p>
      <w:pPr>
        <w:ind w:firstLine="640"/>
        <w:rPr>
          <w:rFonts w:ascii="仿宋" w:hAnsi="仿宋" w:eastAsia="仿宋" w:cs="仿宋"/>
          <w:szCs w:val="32"/>
        </w:rPr>
      </w:pPr>
      <w:r>
        <w:rPr>
          <w:rFonts w:hint="eastAsia" w:ascii="仿宋" w:hAnsi="仿宋" w:eastAsia="仿宋" w:cs="仿宋"/>
          <w:szCs w:val="32"/>
        </w:rPr>
        <w:t xml:space="preserve">（五）通信保障组 </w:t>
      </w:r>
    </w:p>
    <w:p>
      <w:pPr>
        <w:ind w:firstLine="640"/>
        <w:rPr>
          <w:rFonts w:ascii="仿宋" w:hAnsi="仿宋" w:eastAsia="仿宋" w:cs="仿宋"/>
          <w:szCs w:val="32"/>
        </w:rPr>
      </w:pPr>
      <w:r>
        <w:rPr>
          <w:rFonts w:hint="eastAsia" w:ascii="仿宋" w:hAnsi="仿宋" w:eastAsia="仿宋" w:cs="仿宋"/>
          <w:szCs w:val="32"/>
          <w:lang w:val="en-US" w:eastAsia="zh-CN"/>
        </w:rPr>
        <w:t>由区</w:t>
      </w:r>
      <w:r>
        <w:rPr>
          <w:rFonts w:hint="eastAsia" w:ascii="仿宋" w:hAnsi="仿宋" w:eastAsia="仿宋" w:cs="仿宋"/>
          <w:szCs w:val="32"/>
        </w:rPr>
        <w:t>工业和信息化局</w:t>
      </w:r>
      <w:r>
        <w:rPr>
          <w:rFonts w:hint="eastAsia" w:ascii="仿宋" w:hAnsi="仿宋" w:eastAsia="仿宋" w:cs="仿宋"/>
          <w:szCs w:val="32"/>
          <w:lang w:val="en-US" w:eastAsia="zh-CN"/>
        </w:rPr>
        <w:t>牵头，</w:t>
      </w:r>
      <w:r>
        <w:rPr>
          <w:rFonts w:hint="eastAsia" w:ascii="仿宋" w:hAnsi="仿宋" w:eastAsia="仿宋" w:cs="仿宋"/>
          <w:szCs w:val="32"/>
        </w:rPr>
        <w:t>由中国移动呼和浩特分公司、中国联通呼和浩特分公司、中国电信呼和浩特分公司牵头，</w:t>
      </w:r>
      <w:r>
        <w:rPr>
          <w:rFonts w:hint="eastAsia" w:ascii="仿宋" w:hAnsi="仿宋" w:eastAsia="仿宋" w:cs="仿宋"/>
          <w:szCs w:val="32"/>
          <w:lang w:eastAsia="zh-CN"/>
        </w:rPr>
        <w:t>区应急管理局</w:t>
      </w:r>
      <w:r>
        <w:rPr>
          <w:rFonts w:hint="eastAsia" w:ascii="仿宋" w:hAnsi="仿宋" w:eastAsia="仿宋" w:cs="仿宋"/>
          <w:szCs w:val="32"/>
        </w:rPr>
        <w:t>、</w:t>
      </w:r>
      <w:r>
        <w:rPr>
          <w:rFonts w:hint="eastAsia" w:ascii="仿宋" w:hAnsi="仿宋" w:eastAsia="仿宋" w:cs="仿宋"/>
          <w:szCs w:val="32"/>
          <w:lang w:eastAsia="zh-CN"/>
        </w:rPr>
        <w:t>区林业和草原分局</w:t>
      </w:r>
      <w:r>
        <w:rPr>
          <w:rFonts w:hint="eastAsia" w:ascii="仿宋" w:hAnsi="仿宋" w:eastAsia="仿宋" w:cs="仿宋"/>
          <w:szCs w:val="32"/>
        </w:rPr>
        <w:t>等部门和单位参加。</w:t>
      </w:r>
    </w:p>
    <w:p>
      <w:pPr>
        <w:ind w:firstLine="640"/>
        <w:rPr>
          <w:rFonts w:ascii="仿宋" w:hAnsi="仿宋" w:eastAsia="仿宋" w:cs="仿宋"/>
          <w:szCs w:val="32"/>
        </w:rPr>
      </w:pPr>
      <w:r>
        <w:rPr>
          <w:rFonts w:hint="eastAsia" w:ascii="仿宋" w:hAnsi="仿宋" w:eastAsia="仿宋" w:cs="仿宋"/>
          <w:szCs w:val="32"/>
        </w:rPr>
        <w:t>主要职责：协调做好指挥机构在灾区时的通信和信息化组网工作；建立</w:t>
      </w:r>
      <w:r>
        <w:rPr>
          <w:rFonts w:hint="eastAsia" w:ascii="仿宋" w:hAnsi="仿宋" w:eastAsia="仿宋" w:cs="仿宋"/>
          <w:szCs w:val="32"/>
          <w:lang w:val="en-US" w:eastAsia="zh-CN"/>
        </w:rPr>
        <w:t>森林草原火灾</w:t>
      </w:r>
      <w:r>
        <w:rPr>
          <w:rFonts w:hint="eastAsia" w:ascii="仿宋" w:hAnsi="仿宋" w:eastAsia="仿宋" w:cs="仿宋"/>
          <w:szCs w:val="32"/>
        </w:rPr>
        <w:t>现场指挥机构、森林草原火灾扑救伍与</w:t>
      </w:r>
      <w:r>
        <w:rPr>
          <w:rFonts w:hint="eastAsia" w:ascii="仿宋" w:hAnsi="仿宋" w:eastAsia="仿宋" w:cs="仿宋"/>
          <w:szCs w:val="32"/>
          <w:lang w:eastAsia="zh-CN"/>
        </w:rPr>
        <w:t>区应急管理局</w:t>
      </w:r>
      <w:r>
        <w:rPr>
          <w:rFonts w:hint="eastAsia" w:ascii="仿宋" w:hAnsi="仿宋" w:eastAsia="仿宋" w:cs="仿宋"/>
          <w:szCs w:val="32"/>
        </w:rPr>
        <w:t xml:space="preserve">指挥中心以及其他指挥机构之间的通信联络；指导修复受损通信设施，恢复灾区通信。 </w:t>
      </w:r>
    </w:p>
    <w:p>
      <w:pPr>
        <w:ind w:firstLine="640"/>
        <w:rPr>
          <w:rFonts w:ascii="仿宋" w:hAnsi="仿宋" w:eastAsia="仿宋" w:cs="仿宋"/>
          <w:szCs w:val="32"/>
        </w:rPr>
      </w:pPr>
      <w:r>
        <w:rPr>
          <w:rFonts w:hint="eastAsia" w:ascii="仿宋" w:hAnsi="仿宋" w:eastAsia="仿宋" w:cs="仿宋"/>
          <w:szCs w:val="32"/>
        </w:rPr>
        <w:t xml:space="preserve">（六）交通保障组 </w:t>
      </w:r>
    </w:p>
    <w:p>
      <w:pPr>
        <w:ind w:firstLine="640"/>
        <w:rPr>
          <w:rFonts w:ascii="仿宋" w:hAnsi="仿宋" w:eastAsia="仿宋" w:cs="仿宋"/>
          <w:szCs w:val="32"/>
        </w:rPr>
      </w:pPr>
      <w:r>
        <w:rPr>
          <w:rFonts w:hint="eastAsia" w:ascii="仿宋" w:hAnsi="仿宋" w:eastAsia="仿宋" w:cs="仿宋"/>
          <w:szCs w:val="32"/>
        </w:rPr>
        <w:t>由区交通运输局牵头，公安分局、</w:t>
      </w:r>
      <w:r>
        <w:rPr>
          <w:rFonts w:hint="eastAsia" w:ascii="仿宋" w:hAnsi="仿宋" w:eastAsia="仿宋" w:cs="仿宋"/>
          <w:szCs w:val="32"/>
          <w:lang w:eastAsia="zh-CN"/>
        </w:rPr>
        <w:t>区应急管理局</w:t>
      </w:r>
      <w:r>
        <w:rPr>
          <w:rFonts w:hint="eastAsia" w:ascii="仿宋" w:hAnsi="仿宋" w:eastAsia="仿宋" w:cs="仿宋"/>
          <w:szCs w:val="32"/>
        </w:rPr>
        <w:t xml:space="preserve">等部门和单位参加。 </w:t>
      </w:r>
    </w:p>
    <w:p>
      <w:pPr>
        <w:ind w:firstLine="640"/>
        <w:rPr>
          <w:rFonts w:ascii="仿宋" w:hAnsi="仿宋" w:eastAsia="仿宋" w:cs="仿宋"/>
          <w:szCs w:val="32"/>
        </w:rPr>
      </w:pPr>
      <w:r>
        <w:rPr>
          <w:rFonts w:hint="eastAsia" w:ascii="仿宋" w:hAnsi="仿宋" w:eastAsia="仿宋" w:cs="仿宋"/>
          <w:szCs w:val="32"/>
        </w:rPr>
        <w:t>主要职责：统筹协调做好森林草原火灾扑救</w:t>
      </w:r>
      <w:r>
        <w:rPr>
          <w:rFonts w:hint="eastAsia" w:ascii="仿宋" w:hAnsi="仿宋" w:eastAsia="仿宋" w:cs="仿宋"/>
          <w:szCs w:val="32"/>
          <w:lang w:val="en-US" w:eastAsia="zh-CN"/>
        </w:rPr>
        <w:t>力量赶赴火场</w:t>
      </w:r>
      <w:r>
        <w:rPr>
          <w:rFonts w:hint="eastAsia" w:ascii="仿宋" w:hAnsi="仿宋" w:eastAsia="仿宋" w:cs="仿宋"/>
          <w:szCs w:val="32"/>
        </w:rPr>
        <w:t xml:space="preserve">和撤离时的交通保障工作；指导灾区道路抢通抢修；协调抢险救灾物资、救援装备以及基本生活物资等交通保障。 </w:t>
      </w:r>
    </w:p>
    <w:p>
      <w:pPr>
        <w:ind w:firstLine="640"/>
        <w:rPr>
          <w:rFonts w:ascii="仿宋" w:hAnsi="仿宋" w:eastAsia="仿宋" w:cs="仿宋"/>
          <w:szCs w:val="32"/>
        </w:rPr>
      </w:pPr>
      <w:r>
        <w:rPr>
          <w:rFonts w:hint="eastAsia" w:ascii="仿宋" w:hAnsi="仿宋" w:eastAsia="仿宋" w:cs="仿宋"/>
          <w:szCs w:val="32"/>
        </w:rPr>
        <w:t xml:space="preserve">（七）专家支持组 </w:t>
      </w:r>
    </w:p>
    <w:p>
      <w:pPr>
        <w:ind w:firstLine="640"/>
        <w:rPr>
          <w:rFonts w:ascii="仿宋" w:hAnsi="仿宋" w:eastAsia="仿宋" w:cs="仿宋"/>
          <w:szCs w:val="32"/>
        </w:rPr>
      </w:pPr>
      <w:r>
        <w:rPr>
          <w:rFonts w:hint="eastAsia" w:ascii="仿宋" w:hAnsi="仿宋" w:eastAsia="仿宋" w:cs="仿宋"/>
          <w:szCs w:val="32"/>
        </w:rPr>
        <w:t xml:space="preserve">由专家组成员组成。 </w:t>
      </w:r>
    </w:p>
    <w:p>
      <w:pPr>
        <w:ind w:firstLine="640"/>
        <w:rPr>
          <w:rFonts w:ascii="仿宋" w:hAnsi="仿宋" w:eastAsia="仿宋" w:cs="仿宋"/>
          <w:szCs w:val="32"/>
        </w:rPr>
      </w:pPr>
      <w:r>
        <w:rPr>
          <w:rFonts w:hint="eastAsia" w:ascii="仿宋" w:hAnsi="仿宋" w:eastAsia="仿宋" w:cs="仿宋"/>
          <w:szCs w:val="32"/>
        </w:rPr>
        <w:t>主要职责：组织现场</w:t>
      </w:r>
      <w:r>
        <w:rPr>
          <w:rFonts w:hint="eastAsia" w:ascii="仿宋" w:hAnsi="仿宋" w:eastAsia="仿宋" w:cs="仿宋"/>
          <w:szCs w:val="32"/>
          <w:lang w:val="en-US" w:eastAsia="zh-CN"/>
        </w:rPr>
        <w:t>火情</w:t>
      </w:r>
      <w:r>
        <w:rPr>
          <w:rFonts w:hint="eastAsia" w:ascii="仿宋" w:hAnsi="仿宋" w:eastAsia="仿宋" w:cs="仿宋"/>
          <w:szCs w:val="32"/>
        </w:rPr>
        <w:t>会商研判，提供技术支持；指导现场监测预警和隐患排查工作；指导地方开展</w:t>
      </w:r>
      <w:r>
        <w:rPr>
          <w:rFonts w:hint="eastAsia" w:ascii="仿宋" w:hAnsi="仿宋" w:eastAsia="仿宋" w:cs="仿宋"/>
          <w:szCs w:val="32"/>
          <w:lang w:val="en-US" w:eastAsia="zh-CN"/>
        </w:rPr>
        <w:t>火情</w:t>
      </w:r>
      <w:r>
        <w:rPr>
          <w:rFonts w:hint="eastAsia" w:ascii="仿宋" w:hAnsi="仿宋" w:eastAsia="仿宋" w:cs="仿宋"/>
          <w:szCs w:val="32"/>
        </w:rPr>
        <w:t>调查和灾损评估；参与制定</w:t>
      </w:r>
      <w:r>
        <w:rPr>
          <w:rFonts w:hint="eastAsia" w:ascii="仿宋" w:hAnsi="仿宋" w:eastAsia="仿宋" w:cs="仿宋"/>
          <w:szCs w:val="32"/>
          <w:lang w:val="en-US" w:eastAsia="zh-CN"/>
        </w:rPr>
        <w:t>森林草原火灾扑救</w:t>
      </w:r>
      <w:r>
        <w:rPr>
          <w:rFonts w:hint="eastAsia" w:ascii="仿宋" w:hAnsi="仿宋" w:eastAsia="仿宋" w:cs="仿宋"/>
          <w:szCs w:val="32"/>
        </w:rPr>
        <w:t xml:space="preserve">方案。 </w:t>
      </w:r>
    </w:p>
    <w:p>
      <w:pPr>
        <w:ind w:firstLine="640"/>
        <w:rPr>
          <w:rFonts w:ascii="仿宋" w:hAnsi="仿宋" w:eastAsia="仿宋" w:cs="仿宋"/>
          <w:szCs w:val="32"/>
        </w:rPr>
      </w:pPr>
      <w:r>
        <w:rPr>
          <w:rFonts w:hint="eastAsia" w:ascii="仿宋" w:hAnsi="仿宋" w:eastAsia="仿宋" w:cs="仿宋"/>
          <w:szCs w:val="32"/>
        </w:rPr>
        <w:t xml:space="preserve">（八）森林草原火灾损失评估组 </w:t>
      </w:r>
    </w:p>
    <w:p>
      <w:pPr>
        <w:ind w:firstLine="640"/>
        <w:rPr>
          <w:rFonts w:ascii="仿宋" w:hAnsi="仿宋" w:eastAsia="仿宋" w:cs="仿宋"/>
          <w:szCs w:val="32"/>
        </w:rPr>
      </w:pPr>
      <w:r>
        <w:rPr>
          <w:rFonts w:hint="eastAsia" w:ascii="仿宋" w:hAnsi="仿宋" w:eastAsia="仿宋" w:cs="仿宋"/>
          <w:szCs w:val="32"/>
        </w:rPr>
        <w:t>由</w:t>
      </w:r>
      <w:r>
        <w:rPr>
          <w:rFonts w:hint="eastAsia" w:ascii="仿宋" w:hAnsi="仿宋" w:eastAsia="仿宋" w:cs="仿宋"/>
          <w:szCs w:val="32"/>
          <w:lang w:eastAsia="zh-CN"/>
        </w:rPr>
        <w:t>区林业和草原分局</w:t>
      </w:r>
      <w:r>
        <w:rPr>
          <w:rFonts w:hint="eastAsia" w:ascii="仿宋" w:hAnsi="仿宋" w:eastAsia="仿宋" w:cs="仿宋"/>
          <w:szCs w:val="32"/>
        </w:rPr>
        <w:t>牵头，公安分局、</w:t>
      </w:r>
      <w:r>
        <w:rPr>
          <w:rFonts w:hint="eastAsia" w:ascii="仿宋" w:hAnsi="仿宋" w:eastAsia="仿宋" w:cs="仿宋"/>
          <w:szCs w:val="32"/>
          <w:lang w:eastAsia="zh-CN"/>
        </w:rPr>
        <w:t>区应急管理局</w:t>
      </w:r>
      <w:r>
        <w:rPr>
          <w:rFonts w:hint="eastAsia" w:ascii="仿宋" w:hAnsi="仿宋" w:eastAsia="仿宋" w:cs="仿宋"/>
          <w:szCs w:val="32"/>
        </w:rPr>
        <w:t xml:space="preserve">等部门和单位参加。 </w:t>
      </w:r>
    </w:p>
    <w:p>
      <w:pPr>
        <w:ind w:firstLine="640"/>
        <w:rPr>
          <w:rFonts w:ascii="仿宋" w:hAnsi="仿宋" w:eastAsia="仿宋" w:cs="仿宋"/>
          <w:szCs w:val="32"/>
        </w:rPr>
      </w:pPr>
      <w:r>
        <w:rPr>
          <w:rFonts w:hint="eastAsia" w:ascii="仿宋" w:hAnsi="仿宋" w:eastAsia="仿宋" w:cs="仿宋"/>
          <w:szCs w:val="32"/>
        </w:rPr>
        <w:t xml:space="preserve">主要职责：指导开展灾情调查和灾时跟踪评估，为抢险救灾决策提供信息支持；参与制定救援救灾方案。 </w:t>
      </w:r>
    </w:p>
    <w:p>
      <w:pPr>
        <w:ind w:firstLine="640"/>
        <w:rPr>
          <w:rFonts w:ascii="仿宋" w:hAnsi="仿宋" w:eastAsia="仿宋" w:cs="仿宋"/>
          <w:szCs w:val="32"/>
        </w:rPr>
      </w:pPr>
      <w:r>
        <w:rPr>
          <w:rFonts w:hint="eastAsia" w:ascii="仿宋" w:hAnsi="仿宋" w:eastAsia="仿宋" w:cs="仿宋"/>
          <w:szCs w:val="32"/>
        </w:rPr>
        <w:t xml:space="preserve">（九）群众生活组 </w:t>
      </w:r>
    </w:p>
    <w:p>
      <w:pPr>
        <w:ind w:firstLine="640"/>
        <w:rPr>
          <w:rFonts w:ascii="仿宋" w:hAnsi="仿宋" w:eastAsia="仿宋" w:cs="仿宋"/>
          <w:szCs w:val="32"/>
        </w:rPr>
      </w:pPr>
      <w:r>
        <w:rPr>
          <w:rFonts w:hint="eastAsia" w:ascii="仿宋" w:hAnsi="仿宋" w:eastAsia="仿宋" w:cs="仿宋"/>
          <w:szCs w:val="32"/>
        </w:rPr>
        <w:t>由</w:t>
      </w:r>
      <w:r>
        <w:rPr>
          <w:rFonts w:hint="eastAsia" w:ascii="仿宋" w:hAnsi="仿宋" w:eastAsia="仿宋" w:cs="仿宋"/>
          <w:szCs w:val="32"/>
          <w:lang w:eastAsia="zh-CN"/>
        </w:rPr>
        <w:t>区应急管理局</w:t>
      </w:r>
      <w:r>
        <w:rPr>
          <w:rFonts w:hint="eastAsia" w:ascii="仿宋" w:hAnsi="仿宋" w:eastAsia="仿宋" w:cs="仿宋"/>
          <w:szCs w:val="32"/>
        </w:rPr>
        <w:t xml:space="preserve">牵头，区发展改革委、民政局、财政局等部门和单位参加。 </w:t>
      </w:r>
    </w:p>
    <w:p>
      <w:pPr>
        <w:ind w:firstLine="640"/>
        <w:rPr>
          <w:rFonts w:ascii="仿宋" w:hAnsi="仿宋" w:eastAsia="仿宋" w:cs="仿宋"/>
          <w:szCs w:val="32"/>
        </w:rPr>
      </w:pPr>
      <w:r>
        <w:rPr>
          <w:rFonts w:hint="eastAsia" w:ascii="仿宋" w:hAnsi="仿宋" w:eastAsia="仿宋" w:cs="仿宋"/>
          <w:szCs w:val="32"/>
        </w:rPr>
        <w:t>主要职责：制定受灾群众救助工作方案；</w:t>
      </w:r>
      <w:r>
        <w:rPr>
          <w:rFonts w:hint="eastAsia" w:ascii="仿宋" w:hAnsi="仿宋" w:eastAsia="仿宋" w:cs="仿宋"/>
          <w:szCs w:val="32"/>
          <w:lang w:val="en-US" w:eastAsia="zh-CN"/>
        </w:rPr>
        <w:t>合理转移、安置可能受森林草原火灾转移的群众；</w:t>
      </w:r>
      <w:r>
        <w:rPr>
          <w:rFonts w:hint="eastAsia" w:ascii="仿宋" w:hAnsi="仿宋" w:eastAsia="仿宋" w:cs="仿宋"/>
          <w:szCs w:val="32"/>
        </w:rPr>
        <w:t xml:space="preserve">下拨市救灾款物并指导发放；指导做好受灾群众紧急转移安置、过渡期救助和因灾遇难人员家属抚慰等工作。 </w:t>
      </w:r>
    </w:p>
    <w:p>
      <w:pPr>
        <w:ind w:firstLine="640"/>
        <w:rPr>
          <w:rFonts w:ascii="仿宋" w:hAnsi="仿宋" w:eastAsia="仿宋" w:cs="仿宋"/>
          <w:szCs w:val="32"/>
        </w:rPr>
      </w:pPr>
      <w:r>
        <w:rPr>
          <w:rFonts w:hint="eastAsia" w:ascii="仿宋" w:hAnsi="仿宋" w:eastAsia="仿宋" w:cs="仿宋"/>
          <w:szCs w:val="32"/>
        </w:rPr>
        <w:t xml:space="preserve">（十）社会治安组 </w:t>
      </w:r>
    </w:p>
    <w:p>
      <w:pPr>
        <w:ind w:firstLine="640"/>
        <w:rPr>
          <w:rFonts w:ascii="仿宋" w:hAnsi="仿宋" w:eastAsia="仿宋" w:cs="仿宋"/>
          <w:szCs w:val="32"/>
        </w:rPr>
      </w:pPr>
      <w:r>
        <w:rPr>
          <w:rFonts w:hint="eastAsia" w:ascii="仿宋" w:hAnsi="仿宋" w:eastAsia="仿宋" w:cs="仿宋"/>
          <w:szCs w:val="32"/>
        </w:rPr>
        <w:t xml:space="preserve">由公安分局牵头，武警呼和浩特支队等相关部门和单位参加。 </w:t>
      </w:r>
    </w:p>
    <w:p>
      <w:pPr>
        <w:ind w:firstLine="640"/>
        <w:rPr>
          <w:rFonts w:ascii="仿宋" w:hAnsi="仿宋" w:eastAsia="仿宋" w:cs="仿宋"/>
          <w:szCs w:val="32"/>
        </w:rPr>
      </w:pPr>
      <w:r>
        <w:rPr>
          <w:rFonts w:hint="eastAsia" w:ascii="仿宋" w:hAnsi="仿宋" w:eastAsia="仿宋" w:cs="仿宋"/>
          <w:szCs w:val="32"/>
        </w:rPr>
        <w:t xml:space="preserve">主要职责：做好森林草原火灾有关违法犯罪案件查处工作； </w:t>
      </w:r>
    </w:p>
    <w:p>
      <w:pPr>
        <w:ind w:firstLine="640"/>
        <w:rPr>
          <w:rFonts w:ascii="仿宋" w:hAnsi="仿宋" w:eastAsia="仿宋" w:cs="仿宋"/>
          <w:szCs w:val="32"/>
        </w:rPr>
      </w:pPr>
      <w:r>
        <w:rPr>
          <w:rFonts w:hint="eastAsia" w:ascii="仿宋" w:hAnsi="仿宋" w:eastAsia="仿宋" w:cs="仿宋"/>
          <w:szCs w:val="32"/>
        </w:rPr>
        <w:t xml:space="preserve">指导协助灾区加强现场管控和治安管理工作；维护社会治安和道路交通秩序，预防和处置群体性事件，维护社会稳定；协调做好火场前线指挥部在灾区时的安全保卫工作。 </w:t>
      </w:r>
    </w:p>
    <w:p>
      <w:pPr>
        <w:ind w:firstLine="640"/>
        <w:rPr>
          <w:rFonts w:ascii="仿宋" w:hAnsi="仿宋" w:eastAsia="仿宋" w:cs="仿宋"/>
          <w:szCs w:val="32"/>
        </w:rPr>
      </w:pPr>
      <w:r>
        <w:rPr>
          <w:rFonts w:hint="eastAsia" w:ascii="仿宋" w:hAnsi="仿宋" w:eastAsia="仿宋" w:cs="仿宋"/>
          <w:szCs w:val="32"/>
        </w:rPr>
        <w:t xml:space="preserve">（十一）宣传报道组 </w:t>
      </w:r>
    </w:p>
    <w:p>
      <w:pPr>
        <w:ind w:firstLine="640"/>
        <w:rPr>
          <w:rFonts w:ascii="仿宋" w:hAnsi="仿宋" w:eastAsia="仿宋" w:cs="仿宋"/>
          <w:szCs w:val="32"/>
        </w:rPr>
      </w:pPr>
      <w:r>
        <w:rPr>
          <w:rFonts w:hint="eastAsia" w:ascii="仿宋" w:hAnsi="仿宋" w:eastAsia="仿宋" w:cs="仿宋"/>
          <w:szCs w:val="32"/>
        </w:rPr>
        <w:t>由区委宣传部牵头，区文化旅游广电局、政府新闻办、</w:t>
      </w:r>
      <w:r>
        <w:rPr>
          <w:rFonts w:hint="eastAsia" w:ascii="仿宋" w:hAnsi="仿宋" w:eastAsia="仿宋" w:cs="仿宋"/>
          <w:szCs w:val="32"/>
          <w:lang w:eastAsia="zh-CN"/>
        </w:rPr>
        <w:t>区应急管理局</w:t>
      </w:r>
      <w:r>
        <w:rPr>
          <w:rFonts w:hint="eastAsia" w:ascii="仿宋" w:hAnsi="仿宋" w:eastAsia="仿宋" w:cs="仿宋"/>
          <w:szCs w:val="32"/>
        </w:rPr>
        <w:t xml:space="preserve">等部门和单位参加。 </w:t>
      </w:r>
    </w:p>
    <w:p>
      <w:pPr>
        <w:ind w:firstLine="640"/>
        <w:rPr>
          <w:rFonts w:ascii="仿宋" w:hAnsi="仿宋" w:eastAsia="仿宋" w:cs="仿宋"/>
          <w:szCs w:val="32"/>
        </w:rPr>
      </w:pPr>
      <w:r>
        <w:rPr>
          <w:rFonts w:hint="eastAsia" w:ascii="仿宋" w:hAnsi="仿宋" w:eastAsia="仿宋" w:cs="仿宋"/>
          <w:szCs w:val="32"/>
        </w:rPr>
        <w:t>主要职责：统筹新闻宣传报道工作；指导做好现场发布会和新闻媒体服务管理；组织开展舆情监测研判，加强舆情管控；指导做好科普宣传；协调做好市党委和政府领导同志在灾区现场指导处置工作的新闻报道。</w:t>
      </w:r>
    </w:p>
    <w:p>
      <w:pPr>
        <w:pStyle w:val="8"/>
        <w:ind w:firstLine="643"/>
        <w:rPr>
          <w:rFonts w:hint="default" w:ascii="仿宋" w:hAnsi="仿宋" w:eastAsia="仿宋" w:cs="仿宋"/>
          <w:szCs w:val="32"/>
        </w:rPr>
      </w:pPr>
      <w:bookmarkStart w:id="117" w:name="_Toc7521"/>
      <w:bookmarkStart w:id="118" w:name="_Toc14229"/>
      <w:r>
        <w:rPr>
          <w:rFonts w:ascii="仿宋" w:hAnsi="仿宋" w:eastAsia="仿宋" w:cs="仿宋"/>
          <w:szCs w:val="32"/>
        </w:rPr>
        <w:t>4 处置力量</w:t>
      </w:r>
      <w:bookmarkEnd w:id="117"/>
      <w:bookmarkEnd w:id="118"/>
    </w:p>
    <w:p>
      <w:pPr>
        <w:pStyle w:val="9"/>
        <w:ind w:firstLine="640"/>
        <w:rPr>
          <w:rFonts w:ascii="仿宋" w:hAnsi="仿宋" w:eastAsia="仿宋" w:cs="仿宋"/>
        </w:rPr>
      </w:pPr>
      <w:bookmarkStart w:id="119" w:name="_Toc6505"/>
      <w:bookmarkStart w:id="120" w:name="_Toc21402"/>
      <w:r>
        <w:rPr>
          <w:rFonts w:hint="eastAsia" w:ascii="仿宋" w:hAnsi="仿宋" w:eastAsia="仿宋" w:cs="仿宋"/>
        </w:rPr>
        <w:t>4.1力量编成</w:t>
      </w:r>
      <w:bookmarkEnd w:id="119"/>
      <w:bookmarkEnd w:id="120"/>
    </w:p>
    <w:p>
      <w:pPr>
        <w:ind w:firstLine="640"/>
        <w:rPr>
          <w:rFonts w:ascii="仿宋" w:hAnsi="仿宋" w:eastAsia="仿宋" w:cs="仿宋"/>
          <w:szCs w:val="32"/>
        </w:rPr>
      </w:pPr>
      <w:r>
        <w:rPr>
          <w:rFonts w:hint="eastAsia" w:ascii="仿宋" w:hAnsi="仿宋" w:eastAsia="仿宋" w:cs="仿宋"/>
          <w:szCs w:val="32"/>
        </w:rPr>
        <w:t>扑救森林草原火灾以</w:t>
      </w:r>
      <w:r>
        <w:rPr>
          <w:rFonts w:hint="eastAsia" w:ascii="仿宋" w:hAnsi="仿宋" w:eastAsia="仿宋" w:cs="仿宋"/>
          <w:szCs w:val="32"/>
          <w:lang w:val="en-US" w:eastAsia="zh-CN"/>
        </w:rPr>
        <w:t>玉泉区</w:t>
      </w:r>
      <w:r>
        <w:rPr>
          <w:rFonts w:hint="eastAsia" w:ascii="仿宋" w:hAnsi="仿宋" w:eastAsia="仿宋" w:cs="仿宋"/>
          <w:szCs w:val="32"/>
        </w:rPr>
        <w:t>专业扑火队伍、半专业扑火队伍、综合消防救援队伍、玉泉区消防救援大队为</w:t>
      </w:r>
      <w:r>
        <w:rPr>
          <w:rFonts w:hint="eastAsia" w:ascii="仿宋" w:hAnsi="仿宋" w:eastAsia="仿宋" w:cs="仿宋"/>
          <w:szCs w:val="32"/>
          <w:lang w:val="en-US" w:eastAsia="zh-CN"/>
        </w:rPr>
        <w:t>主，</w:t>
      </w:r>
      <w:r>
        <w:rPr>
          <w:rFonts w:hint="eastAsia" w:ascii="仿宋" w:hAnsi="仿宋" w:eastAsia="仿宋" w:cs="仿宋"/>
          <w:szCs w:val="32"/>
        </w:rPr>
        <w:t>驻地解放军和武警部队支援力量为辅，社会</w:t>
      </w:r>
      <w:r>
        <w:rPr>
          <w:rFonts w:hint="eastAsia" w:ascii="仿宋" w:hAnsi="仿宋" w:eastAsia="仿宋" w:cs="仿宋"/>
          <w:szCs w:val="32"/>
          <w:lang w:val="en-US" w:eastAsia="zh-CN"/>
        </w:rPr>
        <w:t>森</w:t>
      </w:r>
      <w:r>
        <w:rPr>
          <w:rFonts w:hint="eastAsia" w:ascii="仿宋" w:hAnsi="仿宋" w:eastAsia="仿宋" w:cs="仿宋"/>
          <w:szCs w:val="32"/>
        </w:rPr>
        <w:t>林草原火灾扑救力量为补充。必要时，可动员本地区林牧区职工、机关干部等力量协助做好扑救工作。玉泉区通过财政投入招录、整合现有资源和购买社会服务等方式，加强专业灭火力量建设。</w:t>
      </w:r>
    </w:p>
    <w:p>
      <w:pPr>
        <w:pStyle w:val="9"/>
        <w:ind w:firstLine="640"/>
        <w:rPr>
          <w:rFonts w:ascii="仿宋" w:hAnsi="仿宋" w:eastAsia="仿宋" w:cs="仿宋"/>
        </w:rPr>
      </w:pPr>
      <w:bookmarkStart w:id="121" w:name="_Toc18706"/>
      <w:bookmarkStart w:id="122" w:name="_Toc17050"/>
      <w:r>
        <w:rPr>
          <w:rFonts w:hint="eastAsia" w:ascii="仿宋" w:hAnsi="仿宋" w:eastAsia="仿宋" w:cs="仿宋"/>
        </w:rPr>
        <w:t>4.2力量调动</w:t>
      </w:r>
      <w:bookmarkEnd w:id="121"/>
      <w:bookmarkEnd w:id="122"/>
    </w:p>
    <w:p>
      <w:pPr>
        <w:ind w:firstLine="640"/>
        <w:rPr>
          <w:rFonts w:ascii="仿宋" w:hAnsi="仿宋" w:eastAsia="仿宋" w:cs="仿宋"/>
          <w:szCs w:val="32"/>
        </w:rPr>
      </w:pPr>
      <w:r>
        <w:rPr>
          <w:rFonts w:hint="eastAsia" w:ascii="仿宋" w:hAnsi="仿宋" w:eastAsia="仿宋" w:cs="仿宋"/>
          <w:szCs w:val="32"/>
        </w:rPr>
        <w:t>玉泉区根据森林草原火灾早期火情处置需要，应首先调动当地专业扑火队伍、半专业扑火队伍、消防救援队伍等扑火力量，专业扑火队伍、玉泉区综合消防救援队伍、邻近旗县区专业扑火队伍、周边旗县区森林消防中队作为后续增援扑火力量，玉泉区消防救援大队负责组织调动力量参与森林草原火灾扑救以及居民区、重要目标和危险源等保护工作。跨旗县区调动地方专业防扑火队伍增援扑火时，听从市森防指统筹协调，按有关规定和权限报批。</w:t>
      </w:r>
    </w:p>
    <w:bookmarkEnd w:id="112"/>
    <w:bookmarkEnd w:id="113"/>
    <w:bookmarkEnd w:id="114"/>
    <w:p>
      <w:pPr>
        <w:pStyle w:val="8"/>
        <w:ind w:firstLine="643"/>
        <w:rPr>
          <w:rFonts w:hint="default" w:ascii="仿宋" w:hAnsi="仿宋" w:eastAsia="仿宋" w:cs="仿宋"/>
          <w:szCs w:val="32"/>
        </w:rPr>
      </w:pPr>
      <w:bookmarkStart w:id="123" w:name="_Toc23044"/>
      <w:bookmarkStart w:id="124" w:name="_Toc2284"/>
      <w:bookmarkStart w:id="125" w:name="_Toc17440"/>
      <w:bookmarkStart w:id="126" w:name="_Toc16975"/>
      <w:bookmarkStart w:id="127" w:name="_Toc9925"/>
      <w:bookmarkStart w:id="128" w:name="_Toc1941"/>
      <w:r>
        <w:rPr>
          <w:rFonts w:ascii="仿宋" w:hAnsi="仿宋" w:eastAsia="仿宋" w:cs="仿宋"/>
          <w:szCs w:val="32"/>
        </w:rPr>
        <w:t xml:space="preserve">5 </w:t>
      </w:r>
      <w:bookmarkEnd w:id="123"/>
      <w:bookmarkEnd w:id="124"/>
      <w:bookmarkEnd w:id="125"/>
      <w:bookmarkEnd w:id="126"/>
      <w:r>
        <w:rPr>
          <w:rFonts w:ascii="仿宋" w:hAnsi="仿宋" w:eastAsia="仿宋" w:cs="仿宋"/>
          <w:szCs w:val="32"/>
        </w:rPr>
        <w:t>预警、监测和信息报告</w:t>
      </w:r>
      <w:bookmarkEnd w:id="127"/>
      <w:bookmarkEnd w:id="128"/>
    </w:p>
    <w:p>
      <w:pPr>
        <w:pStyle w:val="9"/>
        <w:ind w:firstLine="640"/>
        <w:rPr>
          <w:rFonts w:ascii="仿宋" w:hAnsi="仿宋" w:eastAsia="仿宋" w:cs="仿宋"/>
        </w:rPr>
      </w:pPr>
      <w:bookmarkStart w:id="129" w:name="_Toc28075"/>
      <w:bookmarkStart w:id="130" w:name="_Toc17225"/>
      <w:r>
        <w:rPr>
          <w:rFonts w:hint="eastAsia" w:ascii="仿宋" w:hAnsi="仿宋" w:eastAsia="仿宋" w:cs="仿宋"/>
        </w:rPr>
        <w:t>5.1火险预警</w:t>
      </w:r>
      <w:bookmarkEnd w:id="129"/>
      <w:bookmarkEnd w:id="130"/>
    </w:p>
    <w:p>
      <w:pPr>
        <w:ind w:firstLine="640"/>
        <w:rPr>
          <w:rFonts w:hint="eastAsia" w:ascii="仿宋" w:hAnsi="仿宋" w:eastAsia="仿宋" w:cs="仿宋"/>
          <w:szCs w:val="32"/>
        </w:rPr>
      </w:pPr>
      <w:r>
        <w:rPr>
          <w:rFonts w:hint="eastAsia" w:ascii="仿宋" w:hAnsi="仿宋" w:eastAsia="仿宋" w:cs="仿宋"/>
          <w:szCs w:val="32"/>
        </w:rPr>
        <w:t>5.1.1预警分级</w:t>
      </w:r>
    </w:p>
    <w:p>
      <w:pPr>
        <w:ind w:firstLine="640"/>
        <w:rPr>
          <w:rFonts w:ascii="仿宋" w:hAnsi="仿宋" w:eastAsia="仿宋" w:cs="仿宋"/>
          <w:szCs w:val="32"/>
        </w:rPr>
      </w:pPr>
      <w:r>
        <w:rPr>
          <w:rFonts w:hint="eastAsia" w:ascii="仿宋" w:hAnsi="仿宋" w:eastAsia="仿宋" w:cs="仿宋"/>
          <w:szCs w:val="32"/>
        </w:rPr>
        <w:t>按照国家统一标准，森林火险预警级别划分为四个等级，由高到低依次用红色（I级）、橙色（</w:t>
      </w:r>
      <w:r>
        <w:rPr>
          <w:rFonts w:hint="eastAsia" w:ascii="仿宋" w:hAnsi="仿宋" w:eastAsia="仿宋" w:cs="仿宋"/>
          <w:szCs w:val="32"/>
          <w:lang w:eastAsia="zh-CN"/>
        </w:rPr>
        <w:t>二</w:t>
      </w:r>
      <w:r>
        <w:rPr>
          <w:rFonts w:hint="eastAsia" w:ascii="仿宋" w:hAnsi="仿宋" w:eastAsia="仿宋" w:cs="仿宋"/>
          <w:szCs w:val="32"/>
        </w:rPr>
        <w:t>级）、黄色（</w:t>
      </w:r>
      <w:r>
        <w:rPr>
          <w:rFonts w:hint="eastAsia" w:ascii="仿宋" w:hAnsi="仿宋" w:eastAsia="仿宋" w:cs="仿宋"/>
          <w:szCs w:val="32"/>
          <w:lang w:eastAsia="zh-CN"/>
        </w:rPr>
        <w:t>三</w:t>
      </w:r>
      <w:r>
        <w:rPr>
          <w:rFonts w:hint="eastAsia" w:ascii="仿宋" w:hAnsi="仿宋" w:eastAsia="仿宋" w:cs="仿宋"/>
          <w:szCs w:val="32"/>
        </w:rPr>
        <w:t>级）和蓝色（</w:t>
      </w:r>
      <w:r>
        <w:rPr>
          <w:rFonts w:hint="eastAsia" w:ascii="仿宋" w:hAnsi="仿宋" w:eastAsia="仿宋" w:cs="仿宋"/>
          <w:szCs w:val="32"/>
          <w:lang w:eastAsia="zh-CN"/>
        </w:rPr>
        <w:t>四</w:t>
      </w:r>
      <w:r>
        <w:rPr>
          <w:rFonts w:hint="eastAsia" w:ascii="仿宋" w:hAnsi="仿宋" w:eastAsia="仿宋" w:cs="仿宋"/>
          <w:szCs w:val="32"/>
        </w:rPr>
        <w:t>级）表示，具体分级标准按照有关规定执行。</w:t>
      </w:r>
    </w:p>
    <w:p>
      <w:pPr>
        <w:ind w:firstLine="640"/>
        <w:rPr>
          <w:rFonts w:hint="eastAsia" w:ascii="仿宋" w:hAnsi="仿宋" w:eastAsia="仿宋" w:cs="仿宋"/>
          <w:szCs w:val="32"/>
        </w:rPr>
      </w:pPr>
      <w:r>
        <w:rPr>
          <w:rFonts w:hint="eastAsia" w:ascii="仿宋" w:hAnsi="仿宋" w:eastAsia="仿宋" w:cs="仿宋"/>
          <w:szCs w:val="32"/>
        </w:rPr>
        <w:t>5.1.2预警发布</w:t>
      </w:r>
    </w:p>
    <w:p>
      <w:pPr>
        <w:ind w:firstLine="640"/>
        <w:rPr>
          <w:rFonts w:ascii="仿宋" w:hAnsi="仿宋" w:eastAsia="仿宋" w:cs="仿宋"/>
          <w:szCs w:val="32"/>
        </w:rPr>
      </w:pPr>
      <w:r>
        <w:rPr>
          <w:rFonts w:hint="eastAsia" w:ascii="仿宋" w:hAnsi="仿宋" w:eastAsia="仿宋" w:cs="仿宋"/>
          <w:szCs w:val="32"/>
        </w:rPr>
        <w:t>应急管理局组织</w:t>
      </w:r>
      <w:r>
        <w:rPr>
          <w:rFonts w:hint="eastAsia" w:ascii="仿宋" w:hAnsi="仿宋" w:eastAsia="仿宋" w:cs="仿宋"/>
          <w:szCs w:val="32"/>
          <w:lang w:eastAsia="zh-CN"/>
        </w:rPr>
        <w:t>区林业和草原分局</w:t>
      </w:r>
      <w:r>
        <w:rPr>
          <w:rFonts w:hint="eastAsia" w:ascii="仿宋" w:hAnsi="仿宋" w:eastAsia="仿宋" w:cs="仿宋"/>
          <w:szCs w:val="32"/>
        </w:rPr>
        <w:t>、市公安局玉泉分局及气象局加强会商，联合制作森林草原火险预警信息，经区森防指领导签发后，通过预警信息发布平台和广播、电视、报纸、互联网、手机短信、微信公众号、预警收音机等渠道向涉险区域相关部门和社会公众发布。此外，区森防指接受市森防指发布的预警信息和对相关工作展开的指导工作。</w:t>
      </w:r>
    </w:p>
    <w:p>
      <w:pPr>
        <w:ind w:firstLine="640"/>
        <w:rPr>
          <w:rFonts w:hint="eastAsia" w:ascii="仿宋" w:hAnsi="仿宋" w:eastAsia="仿宋" w:cs="仿宋"/>
          <w:szCs w:val="32"/>
        </w:rPr>
      </w:pPr>
      <w:r>
        <w:rPr>
          <w:rFonts w:hint="eastAsia" w:ascii="仿宋" w:hAnsi="仿宋" w:eastAsia="仿宋" w:cs="仿宋"/>
          <w:szCs w:val="32"/>
        </w:rPr>
        <w:t>5.1.3预警响应</w:t>
      </w:r>
    </w:p>
    <w:p>
      <w:pPr>
        <w:ind w:firstLine="640"/>
        <w:rPr>
          <w:rFonts w:ascii="仿宋" w:hAnsi="仿宋" w:eastAsia="仿宋" w:cs="仿宋"/>
          <w:szCs w:val="32"/>
        </w:rPr>
      </w:pPr>
      <w:r>
        <w:rPr>
          <w:rFonts w:hint="eastAsia" w:ascii="仿宋" w:hAnsi="仿宋" w:eastAsia="仿宋" w:cs="仿宋"/>
          <w:szCs w:val="32"/>
        </w:rPr>
        <w:t>主要采取四级预警响应工作状态：</w:t>
      </w:r>
    </w:p>
    <w:p>
      <w:pPr>
        <w:ind w:firstLine="640"/>
        <w:rPr>
          <w:rFonts w:ascii="仿宋" w:hAnsi="仿宋" w:eastAsia="仿宋" w:cs="仿宋"/>
          <w:szCs w:val="32"/>
        </w:rPr>
      </w:pPr>
      <w:r>
        <w:rPr>
          <w:rFonts w:hint="eastAsia" w:ascii="仿宋" w:hAnsi="仿宋" w:eastAsia="仿宋" w:cs="仿宋"/>
          <w:szCs w:val="32"/>
        </w:rPr>
        <w:t>（一）蓝色预警响应</w:t>
      </w:r>
    </w:p>
    <w:p>
      <w:pPr>
        <w:ind w:firstLine="640"/>
        <w:rPr>
          <w:rFonts w:ascii="仿宋" w:hAnsi="仿宋" w:eastAsia="仿宋" w:cs="仿宋"/>
          <w:szCs w:val="32"/>
        </w:rPr>
      </w:pPr>
      <w:r>
        <w:rPr>
          <w:rFonts w:hint="eastAsia" w:ascii="仿宋" w:hAnsi="仿宋" w:eastAsia="仿宋" w:cs="仿宋"/>
          <w:szCs w:val="32"/>
        </w:rPr>
        <w:t>当发布蓝色预警信息后，进入四级工作状态：区森防指及有关部门密切关注天气情况和森林草原火险预警变化，加强森林草原防火巡护、森林草原防火宣传工作，加强火源管理，落实防灭火装备、物资等各项扑火准备；各级防灭火部门实行24小时值班值宿，主要领导坚守岗位；各专业、半专业森林草原消防队伍集中食宿，组织对森林草原防灭火应急预案进行培训和演练，当地消防队伍进入待命状态。</w:t>
      </w:r>
    </w:p>
    <w:p>
      <w:pPr>
        <w:ind w:firstLine="640"/>
        <w:rPr>
          <w:rFonts w:ascii="仿宋" w:hAnsi="仿宋" w:eastAsia="仿宋" w:cs="仿宋"/>
          <w:szCs w:val="32"/>
        </w:rPr>
      </w:pPr>
      <w:r>
        <w:rPr>
          <w:rFonts w:hint="eastAsia" w:ascii="仿宋" w:hAnsi="仿宋" w:eastAsia="仿宋" w:cs="仿宋"/>
          <w:szCs w:val="32"/>
        </w:rPr>
        <w:t>（二）黄色预警响应</w:t>
      </w:r>
    </w:p>
    <w:p>
      <w:pPr>
        <w:ind w:firstLine="640"/>
        <w:rPr>
          <w:rFonts w:ascii="仿宋" w:hAnsi="仿宋" w:eastAsia="仿宋" w:cs="仿宋"/>
          <w:szCs w:val="32"/>
        </w:rPr>
      </w:pPr>
      <w:r>
        <w:rPr>
          <w:rFonts w:hint="eastAsia" w:ascii="仿宋" w:hAnsi="仿宋" w:eastAsia="仿宋" w:cs="仿宋"/>
          <w:szCs w:val="32"/>
        </w:rPr>
        <w:t>当发布黄色预警信息后，进入三级工作状态：在四级工作的基础上，区人民政府分管领导坚守岗位，区森防及相关部门主要领导亲自带班，加强卫星林火监测信息反馈和瞭望监测，做好预警信息发布，消防大队靠前布防，各护林站做好巡护工作，各类专业扑火队伍全部进入待命状态，确保接到命令后在30分钟内集合出发。</w:t>
      </w:r>
    </w:p>
    <w:p>
      <w:pPr>
        <w:ind w:firstLine="640"/>
        <w:rPr>
          <w:rFonts w:ascii="仿宋" w:hAnsi="仿宋" w:eastAsia="仿宋" w:cs="仿宋"/>
          <w:szCs w:val="32"/>
        </w:rPr>
      </w:pPr>
      <w:r>
        <w:rPr>
          <w:rFonts w:hint="eastAsia" w:ascii="仿宋" w:hAnsi="仿宋" w:eastAsia="仿宋" w:cs="仿宋"/>
          <w:szCs w:val="32"/>
        </w:rPr>
        <w:t>（三）橙色预警响应</w:t>
      </w:r>
    </w:p>
    <w:p>
      <w:pPr>
        <w:ind w:firstLine="640"/>
        <w:rPr>
          <w:rFonts w:ascii="仿宋" w:hAnsi="仿宋" w:eastAsia="仿宋" w:cs="仿宋"/>
          <w:szCs w:val="32"/>
        </w:rPr>
      </w:pPr>
      <w:r>
        <w:rPr>
          <w:rFonts w:hint="eastAsia" w:ascii="仿宋" w:hAnsi="仿宋" w:eastAsia="仿宋" w:cs="仿宋"/>
          <w:szCs w:val="32"/>
        </w:rPr>
        <w:t>当发布橙色预警信息后，进入二级工作状态：在三级工作基础上，区党委、区人民政府分管领导坚守岗位，进一步加强野外火源管理，开展森林草原防火检查，加大预警信息播报频度，做好物资调拨准备；森林、消防部门对兵力部署进行必要调整，各类扑火专业队伍进入战备状态，确保接到命令后在10分钟内集合出发；区森防指派出工作组。</w:t>
      </w:r>
    </w:p>
    <w:p>
      <w:pPr>
        <w:ind w:firstLine="640"/>
        <w:rPr>
          <w:rFonts w:ascii="仿宋" w:hAnsi="仿宋" w:eastAsia="仿宋" w:cs="仿宋"/>
          <w:szCs w:val="32"/>
        </w:rPr>
      </w:pPr>
      <w:r>
        <w:rPr>
          <w:rFonts w:hint="eastAsia" w:ascii="仿宋" w:hAnsi="仿宋" w:eastAsia="仿宋" w:cs="仿宋"/>
          <w:szCs w:val="32"/>
        </w:rPr>
        <w:t>（四）红色预警响应</w:t>
      </w:r>
    </w:p>
    <w:p>
      <w:pPr>
        <w:ind w:firstLine="640"/>
        <w:rPr>
          <w:rFonts w:ascii="仿宋" w:hAnsi="仿宋" w:eastAsia="仿宋" w:cs="仿宋"/>
          <w:szCs w:val="32"/>
        </w:rPr>
      </w:pPr>
      <w:r>
        <w:rPr>
          <w:rFonts w:hint="eastAsia" w:ascii="仿宋" w:hAnsi="仿宋" w:eastAsia="仿宋" w:cs="仿宋"/>
          <w:szCs w:val="32"/>
        </w:rPr>
        <w:t>当发布红色预警信息后，进入一级工作状态：在二级工作基础上，区党委、区人民政府主要领导及其有关部门坚守岗位，及时发布防火戒严令；各类专业扑火队伍要将灭火机具和给养装备事先装车，人员整装集合待命，进入临战状态，确保接到命令后在5分钟内登车出发；区森防指派出工作组及专家组成员。</w:t>
      </w:r>
    </w:p>
    <w:p>
      <w:pPr>
        <w:ind w:firstLine="640"/>
        <w:rPr>
          <w:rFonts w:ascii="仿宋" w:hAnsi="仿宋" w:eastAsia="仿宋" w:cs="仿宋"/>
          <w:szCs w:val="32"/>
        </w:rPr>
      </w:pPr>
      <w:r>
        <w:rPr>
          <w:rFonts w:hint="eastAsia" w:ascii="仿宋" w:hAnsi="仿宋" w:eastAsia="仿宋" w:cs="仿宋"/>
          <w:szCs w:val="32"/>
        </w:rPr>
        <w:t>区森防指视情对预警地区森林草原防灭火工作进行督促和指导。</w:t>
      </w:r>
    </w:p>
    <w:p>
      <w:pPr>
        <w:pStyle w:val="9"/>
        <w:ind w:firstLine="640"/>
        <w:rPr>
          <w:rFonts w:ascii="仿宋" w:hAnsi="仿宋" w:eastAsia="仿宋" w:cs="仿宋"/>
        </w:rPr>
      </w:pPr>
      <w:bookmarkStart w:id="131" w:name="_Toc15634"/>
      <w:bookmarkStart w:id="132" w:name="_Toc30790"/>
      <w:r>
        <w:rPr>
          <w:rFonts w:hint="eastAsia" w:ascii="仿宋" w:hAnsi="仿宋" w:eastAsia="仿宋" w:cs="仿宋"/>
        </w:rPr>
        <w:t>5.2火情监测</w:t>
      </w:r>
      <w:bookmarkEnd w:id="131"/>
      <w:bookmarkEnd w:id="132"/>
    </w:p>
    <w:p>
      <w:pPr>
        <w:ind w:firstLine="640"/>
        <w:rPr>
          <w:rFonts w:ascii="仿宋" w:hAnsi="仿宋" w:eastAsia="仿宋" w:cs="仿宋"/>
          <w:szCs w:val="32"/>
        </w:rPr>
      </w:pPr>
      <w:r>
        <w:rPr>
          <w:rFonts w:hint="eastAsia" w:ascii="仿宋" w:hAnsi="仿宋" w:eastAsia="仿宋" w:cs="仿宋"/>
          <w:szCs w:val="32"/>
        </w:rPr>
        <w:t>区森防指利用卫星火情监测中心提供的卫星热点监测图像及监测报告，及时掌握热点变化情况，通过视频监控、地面瞭望、人员巡护和无人机巡护等监测手段，加强火情监测，密切监视火情动态，及时向有关部门和单位通报，做到早发现、早报告、早处置。</w:t>
      </w:r>
    </w:p>
    <w:p>
      <w:pPr>
        <w:pStyle w:val="9"/>
        <w:ind w:firstLine="640"/>
        <w:rPr>
          <w:rFonts w:ascii="仿宋" w:hAnsi="仿宋" w:eastAsia="仿宋" w:cs="仿宋"/>
        </w:rPr>
      </w:pPr>
      <w:bookmarkStart w:id="133" w:name="_Toc20777"/>
      <w:bookmarkStart w:id="134" w:name="_Toc19981"/>
      <w:r>
        <w:rPr>
          <w:rFonts w:hint="eastAsia" w:ascii="仿宋" w:hAnsi="仿宋" w:eastAsia="仿宋" w:cs="仿宋"/>
        </w:rPr>
        <w:t>5.3信息报告</w:t>
      </w:r>
      <w:bookmarkEnd w:id="133"/>
      <w:bookmarkEnd w:id="134"/>
    </w:p>
    <w:p>
      <w:pPr>
        <w:ind w:firstLine="640"/>
        <w:rPr>
          <w:rFonts w:ascii="仿宋" w:hAnsi="仿宋" w:eastAsia="仿宋" w:cs="仿宋"/>
          <w:szCs w:val="32"/>
        </w:rPr>
      </w:pPr>
      <w:r>
        <w:rPr>
          <w:rFonts w:hint="eastAsia" w:ascii="仿宋" w:hAnsi="仿宋" w:eastAsia="仿宋" w:cs="仿宋"/>
          <w:szCs w:val="32"/>
        </w:rPr>
        <w:t>区森防指按照“有火必报、逐级报告、如实上报、归口报告”原则，及时、准确、逐级、规范报告森林草原火灾信息。及时通报受威胁地区有关单位和相邻行政区域森林草原防灭火指挥机构。</w:t>
      </w:r>
    </w:p>
    <w:p>
      <w:pPr>
        <w:ind w:firstLine="640"/>
        <w:rPr>
          <w:rFonts w:ascii="仿宋" w:hAnsi="仿宋" w:eastAsia="仿宋" w:cs="仿宋"/>
          <w:szCs w:val="32"/>
        </w:rPr>
      </w:pPr>
      <w:r>
        <w:rPr>
          <w:rFonts w:hint="eastAsia" w:ascii="仿宋" w:hAnsi="仿宋" w:eastAsia="仿宋" w:cs="仿宋"/>
          <w:szCs w:val="32"/>
        </w:rPr>
        <w:t>接报森林草原火灾</w:t>
      </w:r>
      <w:r>
        <w:rPr>
          <w:rFonts w:hint="eastAsia" w:ascii="仿宋" w:hAnsi="仿宋" w:eastAsia="仿宋" w:cs="仿宋"/>
          <w:szCs w:val="32"/>
          <w:lang w:val="en-US" w:eastAsia="zh-CN"/>
        </w:rPr>
        <w:t>报警</w:t>
      </w:r>
      <w:r>
        <w:rPr>
          <w:rFonts w:hint="eastAsia" w:ascii="仿宋" w:hAnsi="仿宋" w:eastAsia="仿宋" w:cs="仿宋"/>
          <w:szCs w:val="32"/>
        </w:rPr>
        <w:t>后，原则上1小时内上报区森防指办公室，每级上报、同级通报和部门共享时间不得超过2小时。对已经上报并且仍在扑救的森林草原火灾，一般森林草原火灾每日上报2次（6时前、15时前）、较大以上森林草原火灾每日上报3次（6时前、10时前、15时前）；遇有重大紧急情况，应当立即报告区森防指办公室；发生人员伤亡情况应及时报告情况。区森防指办公室及时与火场前线指挥部联系，掌握火灾现场的有关情况，传达领导指示批示要求，指导相关工作。以下森林草原火灾信息由区森防指办公室向区党委、区人民政府和市森防指报告：</w:t>
      </w:r>
    </w:p>
    <w:p>
      <w:pPr>
        <w:ind w:firstLine="640"/>
        <w:rPr>
          <w:rFonts w:ascii="仿宋" w:hAnsi="仿宋" w:eastAsia="仿宋" w:cs="仿宋"/>
          <w:szCs w:val="32"/>
        </w:rPr>
      </w:pPr>
      <w:r>
        <w:rPr>
          <w:rFonts w:hint="eastAsia" w:ascii="仿宋" w:hAnsi="仿宋" w:eastAsia="仿宋" w:cs="仿宋"/>
          <w:szCs w:val="32"/>
        </w:rPr>
        <w:t>（1）较大、重大、特别重大森林草原火灾。</w:t>
      </w:r>
    </w:p>
    <w:p>
      <w:pPr>
        <w:ind w:firstLine="640"/>
        <w:rPr>
          <w:rFonts w:ascii="仿宋" w:hAnsi="仿宋" w:eastAsia="仿宋" w:cs="仿宋"/>
          <w:szCs w:val="32"/>
        </w:rPr>
      </w:pPr>
      <w:r>
        <w:rPr>
          <w:rFonts w:hint="eastAsia" w:ascii="仿宋" w:hAnsi="仿宋" w:eastAsia="仿宋" w:cs="仿宋"/>
          <w:szCs w:val="32"/>
        </w:rPr>
        <w:t>（2）造成人员</w:t>
      </w:r>
      <w:r>
        <w:rPr>
          <w:rFonts w:hint="eastAsia" w:ascii="仿宋" w:hAnsi="仿宋" w:eastAsia="仿宋" w:cs="仿宋"/>
          <w:szCs w:val="32"/>
          <w:lang w:val="en-US" w:eastAsia="zh-CN"/>
        </w:rPr>
        <w:t>轻伤、重伤</w:t>
      </w:r>
      <w:r>
        <w:rPr>
          <w:rFonts w:hint="eastAsia" w:ascii="仿宋" w:hAnsi="仿宋" w:eastAsia="仿宋" w:cs="仿宋"/>
          <w:szCs w:val="32"/>
        </w:rPr>
        <w:t>或死亡的森林草原火灾。</w:t>
      </w:r>
    </w:p>
    <w:p>
      <w:pPr>
        <w:ind w:firstLine="640"/>
        <w:rPr>
          <w:rFonts w:ascii="仿宋" w:hAnsi="仿宋" w:eastAsia="仿宋" w:cs="仿宋"/>
          <w:szCs w:val="32"/>
        </w:rPr>
      </w:pPr>
      <w:r>
        <w:rPr>
          <w:rFonts w:hint="eastAsia" w:ascii="仿宋" w:hAnsi="仿宋" w:eastAsia="仿宋" w:cs="仿宋"/>
          <w:szCs w:val="32"/>
        </w:rPr>
        <w:t>（3）威胁居民区、重要设施、自然保护区、森林公园等森林草原火灾。</w:t>
      </w:r>
    </w:p>
    <w:p>
      <w:pPr>
        <w:ind w:firstLine="640"/>
        <w:rPr>
          <w:rFonts w:ascii="仿宋" w:hAnsi="仿宋" w:eastAsia="仿宋" w:cs="仿宋"/>
          <w:szCs w:val="32"/>
        </w:rPr>
      </w:pPr>
      <w:r>
        <w:rPr>
          <w:rFonts w:hint="eastAsia" w:ascii="仿宋" w:hAnsi="仿宋" w:eastAsia="仿宋" w:cs="仿宋"/>
          <w:szCs w:val="32"/>
        </w:rPr>
        <w:t>（4）发生在相邻旗县区交界地区危险性大的森林草原火灾。</w:t>
      </w:r>
    </w:p>
    <w:p>
      <w:pPr>
        <w:ind w:firstLine="640"/>
        <w:rPr>
          <w:rFonts w:ascii="仿宋" w:hAnsi="仿宋" w:eastAsia="仿宋" w:cs="仿宋"/>
          <w:szCs w:val="32"/>
        </w:rPr>
      </w:pPr>
      <w:r>
        <w:rPr>
          <w:rFonts w:hint="eastAsia" w:ascii="仿宋" w:hAnsi="仿宋" w:eastAsia="仿宋" w:cs="仿宋"/>
          <w:szCs w:val="32"/>
        </w:rPr>
        <w:t>（5）</w:t>
      </w:r>
      <w:r>
        <w:rPr>
          <w:rFonts w:hint="eastAsia" w:ascii="仿宋" w:hAnsi="仿宋" w:eastAsia="仿宋" w:cs="仿宋"/>
          <w:szCs w:val="32"/>
          <w:lang w:val="en-US" w:eastAsia="zh-CN"/>
        </w:rPr>
        <w:t>6</w:t>
      </w:r>
      <w:r>
        <w:rPr>
          <w:rFonts w:hint="eastAsia" w:ascii="仿宋" w:hAnsi="仿宋" w:eastAsia="仿宋" w:cs="仿宋"/>
          <w:szCs w:val="32"/>
        </w:rPr>
        <w:t>小时尚未扑灭明火的森林草原火灾。</w:t>
      </w:r>
    </w:p>
    <w:p>
      <w:pPr>
        <w:ind w:firstLine="640"/>
        <w:rPr>
          <w:rFonts w:ascii="仿宋" w:hAnsi="仿宋" w:eastAsia="仿宋" w:cs="仿宋"/>
          <w:szCs w:val="32"/>
        </w:rPr>
      </w:pPr>
      <w:r>
        <w:rPr>
          <w:rFonts w:hint="eastAsia" w:ascii="仿宋" w:hAnsi="仿宋" w:eastAsia="仿宋" w:cs="仿宋"/>
          <w:szCs w:val="32"/>
        </w:rPr>
        <w:t>（6）需要市级支援扑救的森林草原火灾。</w:t>
      </w:r>
    </w:p>
    <w:p>
      <w:pPr>
        <w:ind w:firstLine="640"/>
        <w:rPr>
          <w:rFonts w:ascii="仿宋" w:hAnsi="仿宋" w:eastAsia="仿宋" w:cs="仿宋"/>
          <w:szCs w:val="32"/>
        </w:rPr>
      </w:pPr>
      <w:r>
        <w:rPr>
          <w:rFonts w:hint="eastAsia" w:ascii="仿宋" w:hAnsi="仿宋" w:eastAsia="仿宋" w:cs="仿宋"/>
          <w:szCs w:val="32"/>
        </w:rPr>
        <w:t>（7）其他需要报告的森林草原火灾。</w:t>
      </w:r>
    </w:p>
    <w:p>
      <w:pPr>
        <w:pStyle w:val="8"/>
        <w:ind w:firstLine="643"/>
        <w:rPr>
          <w:rFonts w:hint="default" w:ascii="仿宋" w:hAnsi="仿宋" w:eastAsia="仿宋" w:cs="仿宋"/>
          <w:szCs w:val="32"/>
        </w:rPr>
      </w:pPr>
      <w:bookmarkStart w:id="135" w:name="_Toc577"/>
      <w:bookmarkStart w:id="136" w:name="_Toc10079"/>
      <w:r>
        <w:rPr>
          <w:rFonts w:ascii="仿宋" w:hAnsi="仿宋" w:eastAsia="仿宋" w:cs="仿宋"/>
          <w:szCs w:val="32"/>
        </w:rPr>
        <w:t>6应急响应</w:t>
      </w:r>
      <w:bookmarkEnd w:id="135"/>
      <w:bookmarkEnd w:id="136"/>
    </w:p>
    <w:p>
      <w:pPr>
        <w:pStyle w:val="9"/>
        <w:ind w:firstLine="640"/>
        <w:rPr>
          <w:rFonts w:ascii="仿宋" w:hAnsi="仿宋" w:eastAsia="仿宋" w:cs="仿宋"/>
        </w:rPr>
      </w:pPr>
      <w:bookmarkStart w:id="137" w:name="_Toc4560"/>
      <w:bookmarkStart w:id="138" w:name="_Toc6435"/>
      <w:r>
        <w:rPr>
          <w:rFonts w:hint="eastAsia" w:ascii="仿宋" w:hAnsi="仿宋" w:eastAsia="仿宋" w:cs="仿宋"/>
        </w:rPr>
        <w:t>6.1分级响应</w:t>
      </w:r>
      <w:bookmarkEnd w:id="137"/>
      <w:bookmarkEnd w:id="138"/>
    </w:p>
    <w:p>
      <w:pPr>
        <w:ind w:firstLine="640"/>
        <w:rPr>
          <w:rFonts w:ascii="仿宋" w:hAnsi="仿宋" w:eastAsia="仿宋" w:cs="仿宋"/>
          <w:szCs w:val="32"/>
        </w:rPr>
      </w:pPr>
      <w:bookmarkStart w:id="139" w:name="_Toc6039"/>
      <w:bookmarkStart w:id="140" w:name="_Toc29966"/>
      <w:bookmarkStart w:id="141" w:name="_Toc4185"/>
      <w:r>
        <w:rPr>
          <w:rFonts w:hint="eastAsia" w:ascii="仿宋" w:hAnsi="仿宋" w:eastAsia="仿宋" w:cs="仿宋"/>
          <w:szCs w:val="32"/>
        </w:rPr>
        <w:t>根据森林草原火灾初判级别、应急处置能力和预期影响后果，综合研判确定本级响应级别。按照分级响应的原则，及时调整本级扑火组织指挥机构和力量。火情发生后，按任务分工组织进行早期处置；预判可能发生一般森林草原火灾，由区森林草原防灭火指挥机构组织处置；预判可能发生较大森林草原火灾，分别由市</w:t>
      </w:r>
      <w:r>
        <w:rPr>
          <w:rFonts w:hint="eastAsia" w:ascii="仿宋" w:hAnsi="仿宋" w:eastAsia="仿宋" w:cs="仿宋"/>
          <w:szCs w:val="32"/>
          <w:lang w:eastAsia="zh-CN"/>
        </w:rPr>
        <w:t>、</w:t>
      </w:r>
      <w:r>
        <w:rPr>
          <w:rFonts w:hint="eastAsia" w:ascii="仿宋" w:hAnsi="仿宋" w:eastAsia="仿宋" w:cs="仿宋"/>
          <w:szCs w:val="32"/>
          <w:lang w:val="en-US" w:eastAsia="zh-CN"/>
        </w:rPr>
        <w:t>玉泉区</w:t>
      </w:r>
      <w:r>
        <w:rPr>
          <w:rFonts w:hint="eastAsia" w:ascii="仿宋" w:hAnsi="仿宋" w:eastAsia="仿宋" w:cs="仿宋"/>
          <w:szCs w:val="32"/>
        </w:rPr>
        <w:t>森林草原防灭火指挥机构组织处置；预判可能发生重大、特别重大森林草原火灾，分别由自治区级、市级森林草原防灭火指挥机构组织处置，必要时提高响应级别。</w:t>
      </w:r>
    </w:p>
    <w:p>
      <w:pPr>
        <w:pStyle w:val="9"/>
        <w:ind w:firstLine="640"/>
        <w:rPr>
          <w:rFonts w:ascii="仿宋" w:hAnsi="仿宋" w:eastAsia="仿宋" w:cs="仿宋"/>
        </w:rPr>
      </w:pPr>
      <w:bookmarkStart w:id="142" w:name="_Toc24989"/>
      <w:bookmarkStart w:id="143" w:name="_Toc31185"/>
      <w:r>
        <w:rPr>
          <w:rFonts w:hint="eastAsia" w:ascii="仿宋" w:hAnsi="仿宋" w:eastAsia="仿宋" w:cs="仿宋"/>
        </w:rPr>
        <w:t>6.2响应措施</w:t>
      </w:r>
      <w:bookmarkEnd w:id="142"/>
      <w:bookmarkEnd w:id="143"/>
    </w:p>
    <w:p>
      <w:pPr>
        <w:ind w:firstLine="640"/>
        <w:rPr>
          <w:rFonts w:ascii="仿宋" w:hAnsi="仿宋" w:eastAsia="仿宋" w:cs="仿宋"/>
          <w:szCs w:val="32"/>
        </w:rPr>
      </w:pPr>
      <w:r>
        <w:rPr>
          <w:rFonts w:hint="eastAsia" w:ascii="仿宋" w:hAnsi="仿宋" w:eastAsia="仿宋" w:cs="仿宋"/>
          <w:szCs w:val="32"/>
        </w:rPr>
        <w:t>火灾发生后，要先研判气象、地形、植被等环境情况以及是否威胁人员密集居住地、重要设施和重大危险源，科学组织施救。</w:t>
      </w:r>
    </w:p>
    <w:p>
      <w:pPr>
        <w:ind w:firstLine="640"/>
        <w:rPr>
          <w:rFonts w:hint="eastAsia" w:ascii="仿宋" w:hAnsi="仿宋" w:eastAsia="仿宋" w:cs="仿宋"/>
          <w:szCs w:val="32"/>
        </w:rPr>
      </w:pPr>
      <w:r>
        <w:rPr>
          <w:rFonts w:hint="eastAsia" w:ascii="仿宋" w:hAnsi="仿宋" w:eastAsia="仿宋" w:cs="仿宋"/>
          <w:szCs w:val="32"/>
        </w:rPr>
        <w:t>6.2.1扑救火灾</w:t>
      </w:r>
    </w:p>
    <w:p>
      <w:pPr>
        <w:ind w:firstLine="640"/>
        <w:rPr>
          <w:rFonts w:ascii="仿宋" w:hAnsi="仿宋" w:eastAsia="仿宋" w:cs="仿宋"/>
          <w:szCs w:val="32"/>
        </w:rPr>
      </w:pPr>
      <w:r>
        <w:rPr>
          <w:rFonts w:hint="eastAsia" w:ascii="仿宋" w:hAnsi="仿宋" w:eastAsia="仿宋" w:cs="仿宋"/>
          <w:szCs w:val="32"/>
        </w:rPr>
        <w:t>森林草原火灾</w:t>
      </w:r>
      <w:r>
        <w:rPr>
          <w:rFonts w:hint="eastAsia" w:ascii="仿宋" w:hAnsi="仿宋" w:eastAsia="仿宋" w:cs="仿宋"/>
          <w:szCs w:val="32"/>
          <w:lang w:val="en-US" w:eastAsia="zh-CN"/>
        </w:rPr>
        <w:t>发生</w:t>
      </w:r>
      <w:r>
        <w:rPr>
          <w:rFonts w:hint="eastAsia" w:ascii="仿宋" w:hAnsi="仿宋" w:eastAsia="仿宋" w:cs="仿宋"/>
          <w:szCs w:val="32"/>
        </w:rPr>
        <w:t>初期，区森防指要立即采取措施，组织就近专业扑火队、半专业扑火队、综合性消防队伍等力量参与扑救，力争将火灾扑灭在初</w:t>
      </w:r>
      <w:r>
        <w:rPr>
          <w:rFonts w:hint="eastAsia" w:ascii="仿宋" w:hAnsi="仿宋" w:eastAsia="仿宋" w:cs="仿宋"/>
          <w:szCs w:val="32"/>
          <w:lang w:val="en-US" w:eastAsia="zh-CN"/>
        </w:rPr>
        <w:t>发</w:t>
      </w:r>
      <w:r>
        <w:rPr>
          <w:rFonts w:hint="eastAsia" w:ascii="仿宋" w:hAnsi="仿宋" w:eastAsia="仿宋" w:cs="仿宋"/>
          <w:szCs w:val="32"/>
        </w:rPr>
        <w:t>阶段。尊重自然规律，采取“阻、打、清”相结合，做到快速出击、科学扑火，集中优势兵力打歼灭战。在扑火战术上，要采取整体围控，各个歼灭；重兵扑救，彻底清除；阻隔为主，正面扑救为辅等多种方式和手段进行扑救，减少森林草原资源损失；在扑火力量使用上，坚持以专业（半专业）森林草原消防队等专业力量为主，其他经过训练的或有组织的非专业力量为辅的原则；在落实责任制上，采取分段落包干、划区包干的办法，建立扑火、清理和看守火场的责任制。</w:t>
      </w:r>
    </w:p>
    <w:p>
      <w:pPr>
        <w:ind w:firstLine="640"/>
        <w:rPr>
          <w:rFonts w:ascii="仿宋" w:hAnsi="仿宋" w:eastAsia="仿宋" w:cs="仿宋"/>
          <w:szCs w:val="32"/>
        </w:rPr>
      </w:pPr>
      <w:r>
        <w:rPr>
          <w:rFonts w:hint="eastAsia" w:ascii="仿宋" w:hAnsi="仿宋" w:eastAsia="仿宋" w:cs="仿宋"/>
          <w:szCs w:val="32"/>
        </w:rPr>
        <w:t>各扑火力量在前线指挥部的统一调度指挥下，明确任务分工，落实扑救责任，科学组织扑救，在确保扑火人员安全情况下，迅速有序开展扑救工作，严防各类次生灾害发生。现场指挥员要认真分析地理环境、气象条件和火场态势，在扑火队伍行进、安全避险区域选择和扑火作业时，加强火场管理，时刻注意观察天气和火势变化，提前预设紧急避险措施和撤离路线，确保各类扑火人员安全。不得动用残疾人、孕妇和未成年人以及其他不适宜参加森林草原火灾扑救的人员参加扑救工作。</w:t>
      </w:r>
    </w:p>
    <w:p>
      <w:pPr>
        <w:ind w:firstLine="640"/>
        <w:rPr>
          <w:rFonts w:hint="eastAsia" w:ascii="仿宋" w:hAnsi="仿宋" w:eastAsia="仿宋" w:cs="仿宋"/>
          <w:szCs w:val="32"/>
        </w:rPr>
      </w:pPr>
      <w:r>
        <w:rPr>
          <w:rFonts w:hint="eastAsia" w:ascii="仿宋" w:hAnsi="仿宋" w:eastAsia="仿宋" w:cs="仿宋"/>
          <w:szCs w:val="32"/>
        </w:rPr>
        <w:t>6.2.2转移安置人员</w:t>
      </w:r>
    </w:p>
    <w:p>
      <w:pPr>
        <w:ind w:firstLine="640"/>
        <w:rPr>
          <w:rFonts w:ascii="仿宋" w:hAnsi="仿宋" w:eastAsia="仿宋" w:cs="仿宋"/>
          <w:szCs w:val="32"/>
        </w:rPr>
      </w:pPr>
      <w:r>
        <w:rPr>
          <w:rFonts w:hint="eastAsia" w:ascii="仿宋" w:hAnsi="仿宋" w:eastAsia="仿宋" w:cs="仿宋"/>
          <w:szCs w:val="32"/>
        </w:rPr>
        <w:t>当居民点、人员密集区受到森林草原火灾威胁时，受灾地人民政府按照紧急疏散方案有组织、有秩序动员受到森林草原火灾威胁的居民以及其他人员撤离到安全地带，并予以妥善安置。同时做好牲畜和财产转移、医疗救治、疾病控制，确保群众有住处、有饭吃、有水喝、有衣穿等安全防护工作。</w:t>
      </w:r>
    </w:p>
    <w:p>
      <w:pPr>
        <w:ind w:firstLine="640"/>
        <w:rPr>
          <w:rFonts w:hint="eastAsia" w:ascii="仿宋" w:hAnsi="仿宋" w:eastAsia="仿宋" w:cs="仿宋"/>
          <w:sz w:val="30"/>
          <w:szCs w:val="30"/>
        </w:rPr>
      </w:pPr>
      <w:r>
        <w:rPr>
          <w:rFonts w:hint="eastAsia" w:ascii="仿宋" w:hAnsi="仿宋" w:eastAsia="仿宋" w:cs="仿宋"/>
          <w:sz w:val="30"/>
          <w:szCs w:val="30"/>
        </w:rPr>
        <w:t>6.2.3救治伤员</w:t>
      </w:r>
    </w:p>
    <w:p>
      <w:pPr>
        <w:ind w:firstLine="640"/>
        <w:rPr>
          <w:rFonts w:ascii="仿宋" w:hAnsi="仿宋" w:eastAsia="仿宋" w:cs="仿宋"/>
          <w:szCs w:val="32"/>
        </w:rPr>
      </w:pPr>
      <w:r>
        <w:rPr>
          <w:rFonts w:hint="eastAsia" w:ascii="仿宋" w:hAnsi="仿宋" w:eastAsia="仿宋" w:cs="仿宋"/>
          <w:szCs w:val="32"/>
        </w:rPr>
        <w:t>组织医疗人员和救护车辆在扑火现场待命，如有伤病员迅速将受伤人员送医院治疗，必要时对重伤员实施异地救治。视情况派出卫生应急队伍赶赴火灾发生地，成立临时医院或医疗点，实施现场救治。做好遇难人员的善后工作，抚慰遇难者家属。</w:t>
      </w:r>
    </w:p>
    <w:p>
      <w:pPr>
        <w:ind w:firstLine="640"/>
        <w:rPr>
          <w:rFonts w:hint="eastAsia" w:ascii="仿宋" w:hAnsi="仿宋" w:eastAsia="仿宋" w:cs="仿宋"/>
          <w:szCs w:val="32"/>
        </w:rPr>
      </w:pPr>
      <w:r>
        <w:rPr>
          <w:rFonts w:hint="eastAsia" w:ascii="仿宋" w:hAnsi="仿宋" w:eastAsia="仿宋" w:cs="仿宋"/>
          <w:szCs w:val="32"/>
        </w:rPr>
        <w:t>6.2.4保护重要目标</w:t>
      </w:r>
    </w:p>
    <w:p>
      <w:pPr>
        <w:ind w:firstLine="640"/>
        <w:rPr>
          <w:rFonts w:ascii="仿宋" w:hAnsi="仿宋" w:eastAsia="仿宋" w:cs="仿宋"/>
          <w:szCs w:val="32"/>
        </w:rPr>
      </w:pPr>
      <w:r>
        <w:rPr>
          <w:rFonts w:hint="eastAsia" w:ascii="仿宋" w:hAnsi="仿宋" w:eastAsia="仿宋" w:cs="仿宋"/>
          <w:szCs w:val="32"/>
        </w:rPr>
        <w:t>当军事设施、危险化学品生产储存设施设备、油气管道、铁路线路等重要目标物和公共卫生、社会安全等重大危险源受到森林草原火灾威胁时，迅速调集专业队伍，在专业人员指导并确保</w:t>
      </w:r>
      <w:r>
        <w:rPr>
          <w:rFonts w:hint="eastAsia" w:ascii="仿宋" w:hAnsi="仿宋" w:eastAsia="仿宋" w:cs="仿宋"/>
          <w:szCs w:val="32"/>
          <w:lang w:val="en-US" w:eastAsia="zh-CN"/>
        </w:rPr>
        <w:t>扑救</w:t>
      </w:r>
      <w:r>
        <w:rPr>
          <w:rFonts w:hint="eastAsia" w:ascii="仿宋" w:hAnsi="仿宋" w:eastAsia="仿宋" w:cs="仿宋"/>
          <w:szCs w:val="32"/>
        </w:rPr>
        <w:t>人员安全的前提下全力消除威胁，组织抢救、运送、转移重要物资、确保目标安全。</w:t>
      </w:r>
    </w:p>
    <w:p>
      <w:pPr>
        <w:ind w:firstLine="640"/>
        <w:rPr>
          <w:rFonts w:hint="eastAsia" w:ascii="仿宋" w:hAnsi="仿宋" w:eastAsia="仿宋" w:cs="仿宋"/>
          <w:szCs w:val="32"/>
        </w:rPr>
      </w:pPr>
      <w:r>
        <w:rPr>
          <w:rFonts w:hint="eastAsia" w:ascii="仿宋" w:hAnsi="仿宋" w:eastAsia="仿宋" w:cs="仿宋"/>
          <w:szCs w:val="32"/>
        </w:rPr>
        <w:t>6.2.5维护社会治安</w:t>
      </w:r>
    </w:p>
    <w:p>
      <w:pPr>
        <w:ind w:firstLine="640"/>
        <w:rPr>
          <w:rFonts w:ascii="仿宋" w:hAnsi="仿宋" w:eastAsia="仿宋" w:cs="仿宋"/>
          <w:szCs w:val="32"/>
        </w:rPr>
      </w:pPr>
      <w:r>
        <w:rPr>
          <w:rFonts w:hint="eastAsia" w:ascii="仿宋" w:hAnsi="仿宋" w:eastAsia="仿宋" w:cs="仿宋"/>
          <w:szCs w:val="32"/>
        </w:rPr>
        <w:t>加强森林草原火灾受影响区域的社会治安、道路交通等管理，严厉打击借机盗窃、抢劫、哄抢救灾物资、传播谣言、堵塞交通等违法犯罪行为。必要时，有关部门在金融单位、储备仓库等重要场所加强治安巡逻，维护社会稳定。</w:t>
      </w:r>
    </w:p>
    <w:p>
      <w:pPr>
        <w:ind w:firstLine="640"/>
        <w:rPr>
          <w:rFonts w:hint="eastAsia" w:ascii="仿宋" w:hAnsi="仿宋" w:eastAsia="仿宋" w:cs="仿宋"/>
          <w:szCs w:val="32"/>
        </w:rPr>
      </w:pPr>
      <w:r>
        <w:rPr>
          <w:rFonts w:hint="eastAsia" w:ascii="仿宋" w:hAnsi="仿宋" w:eastAsia="仿宋" w:cs="仿宋"/>
          <w:szCs w:val="32"/>
        </w:rPr>
        <w:t>6.2.6发布信息</w:t>
      </w:r>
    </w:p>
    <w:p>
      <w:pPr>
        <w:ind w:firstLine="640"/>
        <w:rPr>
          <w:rFonts w:ascii="仿宋" w:hAnsi="仿宋" w:eastAsia="仿宋" w:cs="仿宋"/>
          <w:szCs w:val="32"/>
        </w:rPr>
      </w:pPr>
      <w:r>
        <w:rPr>
          <w:rFonts w:hint="eastAsia" w:ascii="仿宋" w:hAnsi="仿宋" w:eastAsia="仿宋" w:cs="仿宋"/>
          <w:szCs w:val="32"/>
        </w:rPr>
        <w:t>森林草原火灾信息由区森防或授权的单位，遵循及时准确、客观真实的原则，通过发新闻稿、接受记者采访、举行新闻发布会和专业网站、官方微博等多种方式、途径，及时、准确、客观、全面向社会发布，回应社会关切。加强舆论引导和自媒体管理，防止传播谣言和不实信息，及时辟谣澄清，以正视听。发布内容包括起火时间、火灾地点、过火面积、损失情况、扑救过程和火案查处、责任追究情况等。火灾新闻报道，由区森防指统一安排，统一办理，未经同意，任何单位和个人不得随意发布报道森林草原火灾情况。</w:t>
      </w:r>
    </w:p>
    <w:p>
      <w:pPr>
        <w:ind w:firstLine="640"/>
        <w:rPr>
          <w:rFonts w:hint="eastAsia" w:ascii="仿宋" w:hAnsi="仿宋" w:eastAsia="仿宋" w:cs="仿宋"/>
          <w:szCs w:val="32"/>
        </w:rPr>
      </w:pPr>
      <w:r>
        <w:rPr>
          <w:rFonts w:hint="eastAsia" w:ascii="仿宋" w:hAnsi="仿宋" w:eastAsia="仿宋" w:cs="仿宋"/>
          <w:szCs w:val="32"/>
        </w:rPr>
        <w:t>6.2.7火场清理看守</w:t>
      </w:r>
    </w:p>
    <w:p>
      <w:pPr>
        <w:ind w:firstLine="640"/>
        <w:rPr>
          <w:rFonts w:ascii="仿宋" w:hAnsi="仿宋" w:eastAsia="仿宋" w:cs="仿宋"/>
          <w:szCs w:val="32"/>
        </w:rPr>
      </w:pPr>
      <w:r>
        <w:rPr>
          <w:rFonts w:hint="eastAsia" w:ascii="仿宋" w:hAnsi="仿宋" w:eastAsia="仿宋" w:cs="仿宋"/>
          <w:szCs w:val="32"/>
        </w:rPr>
        <w:t>森林草原火灾明火扑灭后，继续组织扑火人员做好防止复燃和余火清理工作。划分责任区域，并留足人员看守火场。火场看守时间一般不少于24小时</w:t>
      </w:r>
      <w:r>
        <w:rPr>
          <w:rFonts w:hint="eastAsia" w:ascii="仿宋" w:hAnsi="仿宋" w:eastAsia="仿宋" w:cs="仿宋"/>
          <w:szCs w:val="32"/>
          <w:lang w:eastAsia="zh-CN"/>
        </w:rPr>
        <w:t>。</w:t>
      </w:r>
      <w:r>
        <w:rPr>
          <w:rFonts w:hint="eastAsia" w:ascii="仿宋" w:hAnsi="仿宋" w:eastAsia="仿宋" w:cs="仿宋"/>
          <w:szCs w:val="32"/>
        </w:rPr>
        <w:t>经检查验收，达到无火、无烟、无气后，扑火人员方可撤离。原则上，参与扑救的国家综合性消防救援力量、跨区增援的地方专业扑火力量不担负后续清理和看守火场任务。</w:t>
      </w:r>
    </w:p>
    <w:p>
      <w:pPr>
        <w:ind w:firstLine="640"/>
        <w:rPr>
          <w:rFonts w:hint="eastAsia" w:ascii="仿宋" w:hAnsi="仿宋" w:eastAsia="仿宋" w:cs="仿宋"/>
          <w:szCs w:val="32"/>
        </w:rPr>
      </w:pPr>
      <w:r>
        <w:rPr>
          <w:rFonts w:hint="eastAsia" w:ascii="仿宋" w:hAnsi="仿宋" w:eastAsia="仿宋" w:cs="仿宋"/>
          <w:szCs w:val="32"/>
        </w:rPr>
        <w:t>6.2.8应急结束</w:t>
      </w:r>
    </w:p>
    <w:p>
      <w:pPr>
        <w:ind w:firstLine="640"/>
        <w:rPr>
          <w:rFonts w:ascii="仿宋" w:hAnsi="仿宋" w:eastAsia="仿宋" w:cs="仿宋"/>
          <w:szCs w:val="32"/>
        </w:rPr>
      </w:pPr>
      <w:r>
        <w:rPr>
          <w:rFonts w:hint="eastAsia" w:ascii="仿宋" w:hAnsi="仿宋" w:eastAsia="仿宋" w:cs="仿宋"/>
          <w:szCs w:val="32"/>
        </w:rPr>
        <w:t>在森林草原火灾全部扑灭、火场清理验收合格、次生灾害隐患彻底消除后，由应急响应启动者决定终止应急响应。</w:t>
      </w:r>
    </w:p>
    <w:p>
      <w:pPr>
        <w:ind w:firstLine="640"/>
        <w:rPr>
          <w:rFonts w:hint="eastAsia" w:ascii="仿宋" w:hAnsi="仿宋" w:eastAsia="仿宋" w:cs="仿宋"/>
          <w:sz w:val="30"/>
          <w:szCs w:val="30"/>
        </w:rPr>
      </w:pPr>
      <w:r>
        <w:rPr>
          <w:rFonts w:hint="eastAsia" w:ascii="仿宋" w:hAnsi="仿宋" w:eastAsia="仿宋" w:cs="仿宋"/>
          <w:sz w:val="30"/>
          <w:szCs w:val="30"/>
        </w:rPr>
        <w:t>6.2.9善后处置</w:t>
      </w:r>
    </w:p>
    <w:p>
      <w:pPr>
        <w:ind w:firstLine="640"/>
        <w:rPr>
          <w:rFonts w:ascii="仿宋" w:hAnsi="仿宋" w:eastAsia="仿宋" w:cs="仿宋"/>
          <w:szCs w:val="32"/>
        </w:rPr>
      </w:pPr>
      <w:r>
        <w:rPr>
          <w:rFonts w:hint="eastAsia" w:ascii="仿宋" w:hAnsi="仿宋" w:eastAsia="仿宋" w:cs="仿宋"/>
          <w:szCs w:val="32"/>
        </w:rPr>
        <w:t>做好遇难人员的善后工作，抚慰遇难者家属。对因扑救森林草原火灾负伤、致残或者死亡的人员，当地政府或者有关部门按照有关规定给予医疗、抚恤、褒扬。</w:t>
      </w:r>
    </w:p>
    <w:p>
      <w:pPr>
        <w:pStyle w:val="9"/>
        <w:ind w:firstLine="640"/>
        <w:rPr>
          <w:rFonts w:ascii="仿宋" w:hAnsi="仿宋" w:eastAsia="仿宋" w:cs="仿宋"/>
        </w:rPr>
      </w:pPr>
      <w:bookmarkStart w:id="144" w:name="_Toc16435"/>
      <w:bookmarkStart w:id="145" w:name="_Toc10768"/>
      <w:r>
        <w:rPr>
          <w:rFonts w:hint="eastAsia" w:ascii="仿宋" w:hAnsi="仿宋" w:eastAsia="仿宋" w:cs="仿宋"/>
        </w:rPr>
        <w:t>6.3玉泉区层面应对工作</w:t>
      </w:r>
      <w:bookmarkEnd w:id="144"/>
      <w:bookmarkEnd w:id="145"/>
    </w:p>
    <w:p>
      <w:pPr>
        <w:ind w:firstLine="640"/>
        <w:rPr>
          <w:rFonts w:ascii="仿宋" w:hAnsi="仿宋" w:eastAsia="仿宋" w:cs="仿宋"/>
          <w:szCs w:val="32"/>
        </w:rPr>
      </w:pPr>
      <w:r>
        <w:rPr>
          <w:rFonts w:hint="eastAsia" w:ascii="仿宋" w:hAnsi="仿宋" w:eastAsia="仿宋" w:cs="仿宋"/>
          <w:szCs w:val="32"/>
        </w:rPr>
        <w:t>根据所发生的森林草原火灾的等级，按照分级响应的原则，及时调整扑火组织指挥机构的级别和相应的职责。一般情况，随着灾情的不断加重，扑火组织指挥机构的级别也相应提高。应对工作在区级层面由低到高设为</w:t>
      </w:r>
      <w:r>
        <w:rPr>
          <w:rFonts w:hint="eastAsia" w:ascii="仿宋" w:hAnsi="仿宋" w:eastAsia="仿宋" w:cs="仿宋"/>
          <w:szCs w:val="32"/>
          <w:lang w:eastAsia="zh-CN"/>
        </w:rPr>
        <w:t>四</w:t>
      </w:r>
      <w:r>
        <w:rPr>
          <w:rFonts w:hint="eastAsia" w:ascii="仿宋" w:hAnsi="仿宋" w:eastAsia="仿宋" w:cs="仿宋"/>
          <w:szCs w:val="32"/>
        </w:rPr>
        <w:t>级、</w:t>
      </w:r>
      <w:r>
        <w:rPr>
          <w:rFonts w:hint="eastAsia" w:ascii="仿宋" w:hAnsi="仿宋" w:eastAsia="仿宋" w:cs="仿宋"/>
          <w:szCs w:val="32"/>
          <w:lang w:eastAsia="zh-CN"/>
        </w:rPr>
        <w:t>三</w:t>
      </w:r>
      <w:r>
        <w:rPr>
          <w:rFonts w:hint="eastAsia" w:ascii="仿宋" w:hAnsi="仿宋" w:eastAsia="仿宋" w:cs="仿宋"/>
          <w:szCs w:val="32"/>
        </w:rPr>
        <w:t>级、</w:t>
      </w:r>
      <w:r>
        <w:rPr>
          <w:rFonts w:hint="eastAsia" w:ascii="仿宋" w:hAnsi="仿宋" w:eastAsia="仿宋" w:cs="仿宋"/>
          <w:szCs w:val="32"/>
          <w:lang w:eastAsia="zh-CN"/>
        </w:rPr>
        <w:t>二</w:t>
      </w:r>
      <w:r>
        <w:rPr>
          <w:rFonts w:hint="eastAsia" w:ascii="仿宋" w:hAnsi="仿宋" w:eastAsia="仿宋" w:cs="仿宋"/>
          <w:szCs w:val="32"/>
        </w:rPr>
        <w:t>级、</w:t>
      </w:r>
      <w:r>
        <w:rPr>
          <w:rFonts w:hint="eastAsia" w:ascii="仿宋" w:hAnsi="仿宋" w:eastAsia="仿宋" w:cs="仿宋"/>
          <w:szCs w:val="32"/>
          <w:lang w:eastAsia="zh-CN"/>
        </w:rPr>
        <w:t>一</w:t>
      </w:r>
      <w:r>
        <w:rPr>
          <w:rFonts w:hint="eastAsia" w:ascii="仿宋" w:hAnsi="仿宋" w:eastAsia="仿宋" w:cs="仿宋"/>
          <w:szCs w:val="32"/>
        </w:rPr>
        <w:t>级四个响应等级，</w:t>
      </w:r>
      <w:r>
        <w:rPr>
          <w:rFonts w:hint="eastAsia" w:ascii="仿宋" w:hAnsi="仿宋" w:eastAsia="仿宋" w:cs="仿宋"/>
          <w:szCs w:val="32"/>
          <w:lang w:eastAsia="zh-CN"/>
        </w:rPr>
        <w:t>一</w:t>
      </w:r>
      <w:r>
        <w:rPr>
          <w:rFonts w:hint="eastAsia" w:ascii="仿宋" w:hAnsi="仿宋" w:eastAsia="仿宋" w:cs="仿宋"/>
          <w:szCs w:val="32"/>
        </w:rPr>
        <w:t>级为最高等级。</w:t>
      </w:r>
    </w:p>
    <w:p>
      <w:pPr>
        <w:ind w:firstLine="640"/>
        <w:rPr>
          <w:rFonts w:hint="eastAsia" w:ascii="仿宋" w:hAnsi="仿宋" w:eastAsia="仿宋" w:cs="仿宋"/>
          <w:sz w:val="30"/>
          <w:szCs w:val="30"/>
        </w:rPr>
      </w:pPr>
      <w:r>
        <w:rPr>
          <w:rFonts w:hint="eastAsia" w:ascii="仿宋" w:hAnsi="仿宋" w:eastAsia="仿宋" w:cs="仿宋"/>
          <w:sz w:val="30"/>
          <w:szCs w:val="30"/>
        </w:rPr>
        <w:t>6.3.1</w:t>
      </w:r>
      <w:r>
        <w:rPr>
          <w:rFonts w:hint="eastAsia" w:ascii="仿宋" w:hAnsi="仿宋" w:eastAsia="仿宋" w:cs="仿宋"/>
          <w:sz w:val="30"/>
          <w:szCs w:val="30"/>
          <w:lang w:eastAsia="zh-CN"/>
        </w:rPr>
        <w:t>四</w:t>
      </w:r>
      <w:r>
        <w:rPr>
          <w:rFonts w:hint="eastAsia" w:ascii="仿宋" w:hAnsi="仿宋" w:eastAsia="仿宋" w:cs="仿宋"/>
          <w:sz w:val="30"/>
          <w:szCs w:val="30"/>
        </w:rPr>
        <w:t>级响应</w:t>
      </w:r>
    </w:p>
    <w:p>
      <w:pPr>
        <w:ind w:firstLine="640"/>
        <w:rPr>
          <w:rFonts w:ascii="仿宋" w:hAnsi="仿宋" w:eastAsia="仿宋" w:cs="仿宋"/>
          <w:szCs w:val="32"/>
        </w:rPr>
      </w:pPr>
      <w:r>
        <w:rPr>
          <w:rFonts w:hint="eastAsia" w:ascii="仿宋" w:hAnsi="仿宋" w:eastAsia="仿宋" w:cs="仿宋"/>
          <w:szCs w:val="32"/>
        </w:rPr>
        <w:t>（一）启动条件</w:t>
      </w:r>
    </w:p>
    <w:p>
      <w:pPr>
        <w:ind w:firstLine="640"/>
        <w:rPr>
          <w:rFonts w:ascii="仿宋" w:hAnsi="仿宋" w:eastAsia="仿宋" w:cs="仿宋"/>
          <w:szCs w:val="32"/>
        </w:rPr>
      </w:pPr>
      <w:r>
        <w:rPr>
          <w:rFonts w:hint="eastAsia" w:ascii="仿宋" w:hAnsi="仿宋" w:eastAsia="仿宋" w:cs="仿宋"/>
          <w:szCs w:val="32"/>
        </w:rPr>
        <w:t>（1）森林火灾过火面积在1公顷以下。</w:t>
      </w:r>
    </w:p>
    <w:p>
      <w:pPr>
        <w:ind w:firstLine="640"/>
        <w:rPr>
          <w:rFonts w:ascii="仿宋" w:hAnsi="仿宋" w:eastAsia="仿宋" w:cs="仿宋"/>
          <w:szCs w:val="32"/>
        </w:rPr>
      </w:pPr>
      <w:r>
        <w:rPr>
          <w:rFonts w:hint="eastAsia" w:ascii="仿宋" w:hAnsi="仿宋" w:eastAsia="仿宋" w:cs="仿宋"/>
          <w:szCs w:val="32"/>
        </w:rPr>
        <w:t>（2）草原火灾过火面积100公顷以下。</w:t>
      </w:r>
    </w:p>
    <w:p>
      <w:pPr>
        <w:ind w:firstLine="640"/>
        <w:rPr>
          <w:rFonts w:ascii="仿宋" w:hAnsi="仿宋" w:eastAsia="仿宋" w:cs="仿宋"/>
          <w:szCs w:val="32"/>
        </w:rPr>
      </w:pPr>
      <w:r>
        <w:rPr>
          <w:rFonts w:hint="eastAsia" w:ascii="仿宋" w:hAnsi="仿宋" w:eastAsia="仿宋" w:cs="仿宋"/>
          <w:szCs w:val="32"/>
        </w:rPr>
        <w:t>（3）发生在敏感时段、敏感地区，１小时尚未得到有效控制、发展态势持续蔓延扩大的森林草原火灾。</w:t>
      </w:r>
    </w:p>
    <w:p>
      <w:pPr>
        <w:ind w:firstLine="640"/>
        <w:rPr>
          <w:rFonts w:ascii="仿宋" w:hAnsi="仿宋" w:eastAsia="仿宋" w:cs="仿宋"/>
          <w:szCs w:val="32"/>
        </w:rPr>
      </w:pPr>
      <w:r>
        <w:rPr>
          <w:rFonts w:hint="eastAsia" w:ascii="仿宋" w:hAnsi="仿宋" w:eastAsia="仿宋" w:cs="仿宋"/>
          <w:szCs w:val="32"/>
        </w:rPr>
        <w:t>符合上述条件之一的，经区森防指办公室分析评估，认定灾情达到启动标准，经区森防指总指挥审批后，启动</w:t>
      </w:r>
      <w:r>
        <w:rPr>
          <w:rFonts w:hint="eastAsia" w:ascii="仿宋" w:hAnsi="仿宋" w:eastAsia="仿宋" w:cs="仿宋"/>
          <w:szCs w:val="32"/>
          <w:lang w:eastAsia="zh-CN"/>
        </w:rPr>
        <w:t>四</w:t>
      </w:r>
      <w:r>
        <w:rPr>
          <w:rFonts w:hint="eastAsia" w:ascii="仿宋" w:hAnsi="仿宋" w:eastAsia="仿宋" w:cs="仿宋"/>
          <w:szCs w:val="32"/>
        </w:rPr>
        <w:t>级响应。</w:t>
      </w:r>
    </w:p>
    <w:p>
      <w:pPr>
        <w:ind w:firstLine="640"/>
        <w:rPr>
          <w:rFonts w:ascii="仿宋" w:hAnsi="仿宋" w:eastAsia="仿宋" w:cs="仿宋"/>
          <w:szCs w:val="32"/>
        </w:rPr>
      </w:pPr>
      <w:r>
        <w:rPr>
          <w:rFonts w:hint="eastAsia" w:ascii="仿宋" w:hAnsi="仿宋" w:eastAsia="仿宋" w:cs="仿宋"/>
          <w:szCs w:val="32"/>
        </w:rPr>
        <w:t>（二）响应措施</w:t>
      </w:r>
    </w:p>
    <w:p>
      <w:pPr>
        <w:ind w:firstLine="640"/>
        <w:rPr>
          <w:rFonts w:ascii="仿宋" w:hAnsi="仿宋" w:eastAsia="仿宋" w:cs="仿宋"/>
          <w:szCs w:val="32"/>
        </w:rPr>
      </w:pPr>
      <w:r>
        <w:rPr>
          <w:rFonts w:hint="eastAsia" w:ascii="仿宋" w:hAnsi="仿宋" w:eastAsia="仿宋" w:cs="仿宋"/>
          <w:szCs w:val="32"/>
        </w:rPr>
        <w:t>（1）区森防指办公室进入应急状态，及时获取最新火场情况，加强火情监测，研判火情发展态势。</w:t>
      </w:r>
    </w:p>
    <w:p>
      <w:pPr>
        <w:ind w:firstLine="640"/>
        <w:rPr>
          <w:rFonts w:ascii="仿宋" w:hAnsi="仿宋" w:eastAsia="仿宋" w:cs="仿宋"/>
          <w:szCs w:val="32"/>
        </w:rPr>
      </w:pPr>
      <w:r>
        <w:rPr>
          <w:rFonts w:hint="eastAsia" w:ascii="仿宋" w:hAnsi="仿宋" w:eastAsia="仿宋" w:cs="仿宋"/>
          <w:szCs w:val="32"/>
        </w:rPr>
        <w:t>（2）区森防指副指挥带领工作组赶赴现场指挥调度森林</w:t>
      </w:r>
      <w:r>
        <w:rPr>
          <w:rFonts w:hint="eastAsia" w:ascii="仿宋" w:hAnsi="仿宋" w:eastAsia="仿宋" w:cs="仿宋"/>
          <w:szCs w:val="32"/>
          <w:lang w:val="en-US" w:eastAsia="zh-CN"/>
        </w:rPr>
        <w:t>草原</w:t>
      </w:r>
      <w:r>
        <w:rPr>
          <w:rFonts w:hint="eastAsia" w:ascii="仿宋" w:hAnsi="仿宋" w:eastAsia="仿宋" w:cs="仿宋"/>
          <w:szCs w:val="32"/>
        </w:rPr>
        <w:t>火灾</w:t>
      </w:r>
      <w:r>
        <w:rPr>
          <w:rFonts w:hint="eastAsia" w:ascii="仿宋" w:hAnsi="仿宋" w:eastAsia="仿宋" w:cs="仿宋"/>
          <w:szCs w:val="32"/>
          <w:lang w:val="en-US" w:eastAsia="zh-CN"/>
        </w:rPr>
        <w:t>扑救</w:t>
      </w:r>
      <w:r>
        <w:rPr>
          <w:rFonts w:hint="eastAsia" w:ascii="仿宋" w:hAnsi="仿宋" w:eastAsia="仿宋" w:cs="仿宋"/>
          <w:szCs w:val="32"/>
        </w:rPr>
        <w:t>工作，根据需要调动区消防救援大队、消防救援支队特勤大队等队伍负责人参与火场前线指挥部决策指挥，发挥好专业扑救和专业指挥的作用；并预告专业扑火队伍、综合消防救援队伍、相邻旗县区专业扑火队伍做好增援准备。</w:t>
      </w:r>
    </w:p>
    <w:p>
      <w:pPr>
        <w:ind w:firstLine="640"/>
        <w:rPr>
          <w:rFonts w:ascii="仿宋" w:hAnsi="仿宋" w:eastAsia="仿宋" w:cs="仿宋"/>
          <w:szCs w:val="32"/>
        </w:rPr>
      </w:pPr>
      <w:r>
        <w:rPr>
          <w:rFonts w:hint="eastAsia" w:ascii="仿宋" w:hAnsi="仿宋" w:eastAsia="仿宋" w:cs="仿宋"/>
          <w:szCs w:val="32"/>
        </w:rPr>
        <w:t>（3）根据火场周边环境，社会治安组负责保护重要目标物及重大危险源的安全。</w:t>
      </w:r>
    </w:p>
    <w:p>
      <w:pPr>
        <w:ind w:firstLine="640"/>
        <w:rPr>
          <w:rFonts w:ascii="仿宋" w:hAnsi="仿宋" w:eastAsia="仿宋" w:cs="仿宋"/>
          <w:szCs w:val="32"/>
        </w:rPr>
      </w:pPr>
      <w:r>
        <w:rPr>
          <w:rFonts w:hint="eastAsia" w:ascii="仿宋" w:hAnsi="仿宋" w:eastAsia="仿宋" w:cs="仿宋"/>
          <w:szCs w:val="32"/>
        </w:rPr>
        <w:t>（4）视情发布高森林草原火险预警信息。</w:t>
      </w:r>
    </w:p>
    <w:p>
      <w:pPr>
        <w:ind w:firstLine="640"/>
        <w:rPr>
          <w:rFonts w:ascii="仿宋" w:hAnsi="仿宋" w:eastAsia="仿宋" w:cs="仿宋"/>
          <w:szCs w:val="32"/>
        </w:rPr>
      </w:pPr>
      <w:r>
        <w:rPr>
          <w:rFonts w:hint="eastAsia" w:ascii="仿宋" w:hAnsi="仿宋" w:eastAsia="仿宋" w:cs="仿宋"/>
          <w:szCs w:val="32"/>
        </w:rPr>
        <w:t>（5）火灾监测组提供天气预报和天气实况服务，做好人工影响天气作业准备。</w:t>
      </w:r>
    </w:p>
    <w:p>
      <w:pPr>
        <w:ind w:firstLine="640"/>
        <w:rPr>
          <w:rFonts w:ascii="仿宋" w:hAnsi="仿宋" w:eastAsia="仿宋" w:cs="仿宋"/>
          <w:szCs w:val="32"/>
        </w:rPr>
      </w:pPr>
      <w:r>
        <w:rPr>
          <w:rFonts w:hint="eastAsia" w:ascii="仿宋" w:hAnsi="仿宋" w:eastAsia="仿宋" w:cs="仿宋"/>
          <w:szCs w:val="32"/>
        </w:rPr>
        <w:t>（6）及时向上级指挥部汇报火情。</w:t>
      </w:r>
    </w:p>
    <w:p>
      <w:pPr>
        <w:ind w:firstLine="640"/>
        <w:rPr>
          <w:rFonts w:hint="eastAsia" w:ascii="仿宋" w:hAnsi="仿宋" w:eastAsia="仿宋" w:cs="仿宋"/>
          <w:sz w:val="30"/>
          <w:szCs w:val="30"/>
        </w:rPr>
      </w:pPr>
      <w:r>
        <w:rPr>
          <w:rFonts w:hint="eastAsia" w:ascii="仿宋" w:hAnsi="仿宋" w:eastAsia="仿宋" w:cs="仿宋"/>
          <w:sz w:val="30"/>
          <w:szCs w:val="30"/>
        </w:rPr>
        <w:t>6.3.2</w:t>
      </w:r>
      <w:r>
        <w:rPr>
          <w:rFonts w:hint="eastAsia" w:ascii="仿宋" w:hAnsi="仿宋" w:eastAsia="仿宋" w:cs="仿宋"/>
          <w:sz w:val="30"/>
          <w:szCs w:val="30"/>
          <w:lang w:eastAsia="zh-CN"/>
        </w:rPr>
        <w:t>三</w:t>
      </w:r>
      <w:r>
        <w:rPr>
          <w:rFonts w:hint="eastAsia" w:ascii="仿宋" w:hAnsi="仿宋" w:eastAsia="仿宋" w:cs="仿宋"/>
          <w:sz w:val="30"/>
          <w:szCs w:val="30"/>
        </w:rPr>
        <w:t>级响应</w:t>
      </w:r>
    </w:p>
    <w:p>
      <w:pPr>
        <w:ind w:firstLine="640"/>
        <w:rPr>
          <w:rFonts w:ascii="仿宋" w:hAnsi="仿宋" w:eastAsia="仿宋" w:cs="仿宋"/>
          <w:szCs w:val="32"/>
        </w:rPr>
      </w:pPr>
      <w:r>
        <w:rPr>
          <w:rFonts w:hint="eastAsia" w:ascii="仿宋" w:hAnsi="仿宋" w:eastAsia="仿宋" w:cs="仿宋"/>
          <w:szCs w:val="32"/>
        </w:rPr>
        <w:t>（一）启动条件</w:t>
      </w:r>
    </w:p>
    <w:p>
      <w:pPr>
        <w:ind w:firstLine="640"/>
        <w:rPr>
          <w:rFonts w:ascii="仿宋" w:hAnsi="仿宋" w:eastAsia="仿宋" w:cs="仿宋"/>
          <w:szCs w:val="32"/>
        </w:rPr>
      </w:pPr>
      <w:r>
        <w:rPr>
          <w:rFonts w:hint="eastAsia" w:ascii="仿宋" w:hAnsi="仿宋" w:eastAsia="仿宋" w:cs="仿宋"/>
          <w:szCs w:val="32"/>
        </w:rPr>
        <w:t>（1）森林火灾过火面积在1公顷以上10公顷以下。</w:t>
      </w:r>
    </w:p>
    <w:p>
      <w:pPr>
        <w:ind w:firstLine="640"/>
        <w:rPr>
          <w:rFonts w:ascii="仿宋" w:hAnsi="仿宋" w:eastAsia="仿宋" w:cs="仿宋"/>
          <w:szCs w:val="32"/>
        </w:rPr>
      </w:pPr>
      <w:r>
        <w:rPr>
          <w:rFonts w:hint="eastAsia" w:ascii="仿宋" w:hAnsi="仿宋" w:eastAsia="仿宋" w:cs="仿宋"/>
          <w:szCs w:val="32"/>
        </w:rPr>
        <w:t>（2）草原火灾过火在面积</w:t>
      </w:r>
      <w:r>
        <w:rPr>
          <w:rFonts w:hint="eastAsia" w:ascii="仿宋" w:hAnsi="仿宋" w:eastAsia="仿宋" w:cs="仿宋"/>
          <w:szCs w:val="32"/>
          <w:lang w:val="en-US" w:eastAsia="zh-CN"/>
        </w:rPr>
        <w:t>100</w:t>
      </w:r>
      <w:r>
        <w:rPr>
          <w:rFonts w:hint="eastAsia" w:ascii="仿宋" w:hAnsi="仿宋" w:eastAsia="仿宋" w:cs="仿宋"/>
          <w:szCs w:val="32"/>
        </w:rPr>
        <w:t>公顷以上</w:t>
      </w:r>
      <w:r>
        <w:rPr>
          <w:rFonts w:hint="eastAsia" w:ascii="仿宋" w:hAnsi="仿宋" w:eastAsia="仿宋" w:cs="仿宋"/>
          <w:szCs w:val="32"/>
          <w:lang w:val="en-US" w:eastAsia="zh-CN"/>
        </w:rPr>
        <w:t>1</w:t>
      </w:r>
      <w:r>
        <w:rPr>
          <w:rFonts w:hint="eastAsia" w:ascii="仿宋" w:hAnsi="仿宋" w:eastAsia="仿宋" w:cs="仿宋"/>
          <w:szCs w:val="32"/>
        </w:rPr>
        <w:t>000公顷以下。</w:t>
      </w:r>
    </w:p>
    <w:p>
      <w:pPr>
        <w:ind w:firstLine="640"/>
        <w:rPr>
          <w:rFonts w:ascii="仿宋" w:hAnsi="仿宋" w:eastAsia="仿宋" w:cs="仿宋"/>
          <w:szCs w:val="32"/>
        </w:rPr>
      </w:pPr>
      <w:r>
        <w:rPr>
          <w:rFonts w:hint="eastAsia" w:ascii="仿宋" w:hAnsi="仿宋" w:eastAsia="仿宋" w:cs="仿宋"/>
          <w:szCs w:val="32"/>
        </w:rPr>
        <w:t>（3）同时发生两起以上一般森林草原火灾。</w:t>
      </w:r>
    </w:p>
    <w:p>
      <w:pPr>
        <w:ind w:firstLine="640"/>
        <w:rPr>
          <w:rFonts w:ascii="仿宋" w:hAnsi="仿宋" w:eastAsia="仿宋" w:cs="仿宋"/>
          <w:szCs w:val="32"/>
        </w:rPr>
      </w:pPr>
      <w:r>
        <w:rPr>
          <w:rFonts w:hint="eastAsia" w:ascii="仿宋" w:hAnsi="仿宋" w:eastAsia="仿宋" w:cs="仿宋"/>
          <w:szCs w:val="32"/>
        </w:rPr>
        <w:t>（4）发生在敏感时段、敏感地区，3小时尚未扑灭明火的森林草原火灾。</w:t>
      </w:r>
    </w:p>
    <w:p>
      <w:pPr>
        <w:ind w:firstLine="640"/>
        <w:rPr>
          <w:rFonts w:ascii="仿宋" w:hAnsi="仿宋" w:eastAsia="仿宋" w:cs="仿宋"/>
          <w:szCs w:val="32"/>
        </w:rPr>
      </w:pPr>
      <w:r>
        <w:rPr>
          <w:rFonts w:hint="eastAsia" w:ascii="仿宋" w:hAnsi="仿宋" w:eastAsia="仿宋" w:cs="仿宋"/>
          <w:szCs w:val="32"/>
        </w:rPr>
        <w:t>（5）辖区外较大森林草原火灾蔓延至玉泉区境内。</w:t>
      </w:r>
    </w:p>
    <w:p>
      <w:pPr>
        <w:ind w:firstLine="640"/>
        <w:rPr>
          <w:rFonts w:ascii="仿宋" w:hAnsi="仿宋" w:eastAsia="仿宋" w:cs="仿宋"/>
          <w:szCs w:val="32"/>
        </w:rPr>
      </w:pPr>
      <w:r>
        <w:rPr>
          <w:rFonts w:hint="eastAsia" w:ascii="仿宋" w:hAnsi="仿宋" w:eastAsia="仿宋" w:cs="仿宋"/>
          <w:szCs w:val="32"/>
        </w:rPr>
        <w:t>符合上述条件之一时，经区森防指办公室分析评估，认定灾情达到启动标准，经区森防指总指挥审批后，启动</w:t>
      </w:r>
      <w:r>
        <w:rPr>
          <w:rFonts w:hint="eastAsia" w:ascii="仿宋" w:hAnsi="仿宋" w:eastAsia="仿宋" w:cs="仿宋"/>
          <w:szCs w:val="32"/>
          <w:lang w:eastAsia="zh-CN"/>
        </w:rPr>
        <w:t>三</w:t>
      </w:r>
      <w:r>
        <w:rPr>
          <w:rFonts w:hint="eastAsia" w:ascii="仿宋" w:hAnsi="仿宋" w:eastAsia="仿宋" w:cs="仿宋"/>
          <w:szCs w:val="32"/>
        </w:rPr>
        <w:t>级响应。</w:t>
      </w:r>
    </w:p>
    <w:p>
      <w:pPr>
        <w:ind w:firstLine="640"/>
        <w:rPr>
          <w:rFonts w:ascii="仿宋" w:hAnsi="仿宋" w:eastAsia="仿宋" w:cs="仿宋"/>
          <w:szCs w:val="32"/>
        </w:rPr>
      </w:pPr>
      <w:r>
        <w:rPr>
          <w:rFonts w:hint="eastAsia" w:ascii="仿宋" w:hAnsi="仿宋" w:eastAsia="仿宋" w:cs="仿宋"/>
          <w:szCs w:val="32"/>
        </w:rPr>
        <w:t>（二）响应措施</w:t>
      </w:r>
    </w:p>
    <w:p>
      <w:pPr>
        <w:ind w:firstLine="640"/>
        <w:rPr>
          <w:rFonts w:ascii="仿宋" w:hAnsi="仿宋" w:eastAsia="仿宋" w:cs="仿宋"/>
          <w:szCs w:val="32"/>
        </w:rPr>
      </w:pPr>
      <w:r>
        <w:rPr>
          <w:rFonts w:hint="eastAsia" w:ascii="仿宋" w:hAnsi="仿宋" w:eastAsia="仿宋" w:cs="仿宋"/>
          <w:szCs w:val="32"/>
        </w:rPr>
        <w:t>区森防指立即将火情上报市森防指，在市森防指到达现场前，做好以下先期处置工作：</w:t>
      </w:r>
    </w:p>
    <w:p>
      <w:pPr>
        <w:ind w:firstLine="640"/>
        <w:rPr>
          <w:rFonts w:ascii="仿宋" w:hAnsi="仿宋" w:eastAsia="仿宋" w:cs="仿宋"/>
          <w:szCs w:val="32"/>
        </w:rPr>
      </w:pPr>
      <w:r>
        <w:rPr>
          <w:rFonts w:hint="eastAsia" w:ascii="仿宋" w:hAnsi="仿宋" w:eastAsia="仿宋" w:cs="仿宋"/>
          <w:szCs w:val="32"/>
        </w:rPr>
        <w:t>（1）区森防指总指挥到现场指挥，成立扑火前线指挥部，统一指挥扑救工作。</w:t>
      </w:r>
    </w:p>
    <w:p>
      <w:pPr>
        <w:ind w:firstLine="640"/>
        <w:rPr>
          <w:rFonts w:ascii="仿宋" w:hAnsi="仿宋" w:eastAsia="仿宋" w:cs="仿宋"/>
          <w:szCs w:val="32"/>
        </w:rPr>
      </w:pPr>
      <w:r>
        <w:rPr>
          <w:rFonts w:hint="eastAsia" w:ascii="仿宋" w:hAnsi="仿宋" w:eastAsia="仿宋" w:cs="仿宋"/>
          <w:szCs w:val="32"/>
        </w:rPr>
        <w:t>（2）根据需要调动专业扑火队伍、综合消防救援队伍、周边旗县区专业扑火队伍实施增援扑救；并报告上级指挥部请求增援。</w:t>
      </w:r>
    </w:p>
    <w:p>
      <w:pPr>
        <w:ind w:firstLine="640"/>
        <w:rPr>
          <w:rFonts w:ascii="仿宋" w:hAnsi="仿宋" w:eastAsia="仿宋" w:cs="仿宋"/>
          <w:szCs w:val="32"/>
        </w:rPr>
      </w:pPr>
      <w:r>
        <w:rPr>
          <w:rFonts w:hint="eastAsia" w:ascii="仿宋" w:hAnsi="仿宋" w:eastAsia="仿宋" w:cs="仿宋"/>
          <w:szCs w:val="32"/>
        </w:rPr>
        <w:t>（3）区森防指办公室及时调度了解森林火灾最新情况，组织火情会商，研究火灾扑救措施，及时向上级指挥部报告现场火情信息。</w:t>
      </w:r>
    </w:p>
    <w:p>
      <w:pPr>
        <w:ind w:firstLine="640"/>
        <w:rPr>
          <w:rFonts w:ascii="仿宋" w:hAnsi="仿宋" w:eastAsia="仿宋" w:cs="仿宋"/>
          <w:szCs w:val="32"/>
        </w:rPr>
      </w:pPr>
      <w:r>
        <w:rPr>
          <w:rFonts w:hint="eastAsia" w:ascii="仿宋" w:hAnsi="仿宋" w:eastAsia="仿宋" w:cs="仿宋"/>
          <w:szCs w:val="32"/>
        </w:rPr>
        <w:t>（4）社会治安组做好重要目标物及重大危险源的保护工作；</w:t>
      </w:r>
    </w:p>
    <w:p>
      <w:pPr>
        <w:ind w:firstLine="640"/>
        <w:rPr>
          <w:rFonts w:ascii="仿宋" w:hAnsi="仿宋" w:eastAsia="仿宋" w:cs="仿宋"/>
          <w:szCs w:val="32"/>
        </w:rPr>
      </w:pPr>
      <w:r>
        <w:rPr>
          <w:rFonts w:hint="eastAsia" w:ascii="仿宋" w:hAnsi="仿宋" w:eastAsia="仿宋" w:cs="仿宋"/>
          <w:szCs w:val="32"/>
        </w:rPr>
        <w:t>（5）火灾监测组提供天气预报和天气实况服务，做好人工影响天气作业准备。</w:t>
      </w:r>
    </w:p>
    <w:p>
      <w:pPr>
        <w:ind w:firstLine="640"/>
        <w:rPr>
          <w:rFonts w:ascii="仿宋" w:hAnsi="仿宋" w:eastAsia="仿宋" w:cs="仿宋"/>
          <w:szCs w:val="32"/>
        </w:rPr>
      </w:pPr>
      <w:r>
        <w:rPr>
          <w:rFonts w:hint="eastAsia" w:ascii="仿宋" w:hAnsi="仿宋" w:eastAsia="仿宋" w:cs="仿宋"/>
          <w:szCs w:val="32"/>
        </w:rPr>
        <w:t>（6）做好上级森防指的其他保障工作。</w:t>
      </w:r>
    </w:p>
    <w:p>
      <w:pPr>
        <w:ind w:firstLine="640"/>
        <w:rPr>
          <w:rFonts w:hint="eastAsia" w:ascii="仿宋" w:hAnsi="仿宋" w:eastAsia="仿宋" w:cs="仿宋"/>
          <w:sz w:val="30"/>
          <w:szCs w:val="30"/>
        </w:rPr>
      </w:pPr>
      <w:r>
        <w:rPr>
          <w:rFonts w:hint="eastAsia" w:ascii="仿宋" w:hAnsi="仿宋" w:eastAsia="仿宋" w:cs="仿宋"/>
          <w:sz w:val="30"/>
          <w:szCs w:val="30"/>
        </w:rPr>
        <w:t>6.3.3</w:t>
      </w:r>
      <w:r>
        <w:rPr>
          <w:rFonts w:hint="eastAsia" w:ascii="仿宋" w:hAnsi="仿宋" w:eastAsia="仿宋" w:cs="仿宋"/>
          <w:sz w:val="30"/>
          <w:szCs w:val="30"/>
          <w:lang w:eastAsia="zh-CN"/>
        </w:rPr>
        <w:t>二</w:t>
      </w:r>
      <w:r>
        <w:rPr>
          <w:rFonts w:hint="eastAsia" w:ascii="仿宋" w:hAnsi="仿宋" w:eastAsia="仿宋" w:cs="仿宋"/>
          <w:sz w:val="30"/>
          <w:szCs w:val="30"/>
        </w:rPr>
        <w:t>级响应</w:t>
      </w:r>
    </w:p>
    <w:p>
      <w:pPr>
        <w:ind w:firstLine="640"/>
        <w:rPr>
          <w:rFonts w:ascii="仿宋" w:hAnsi="仿宋" w:eastAsia="仿宋" w:cs="仿宋"/>
          <w:szCs w:val="32"/>
        </w:rPr>
      </w:pPr>
      <w:r>
        <w:rPr>
          <w:rFonts w:hint="eastAsia" w:ascii="仿宋" w:hAnsi="仿宋" w:eastAsia="仿宋" w:cs="仿宋"/>
          <w:szCs w:val="32"/>
        </w:rPr>
        <w:t>（一）启动标准</w:t>
      </w:r>
    </w:p>
    <w:p>
      <w:pPr>
        <w:ind w:firstLine="640"/>
        <w:rPr>
          <w:rFonts w:ascii="仿宋" w:hAnsi="仿宋" w:eastAsia="仿宋" w:cs="仿宋"/>
          <w:szCs w:val="32"/>
        </w:rPr>
      </w:pPr>
      <w:r>
        <w:rPr>
          <w:rFonts w:hint="eastAsia" w:ascii="仿宋" w:hAnsi="仿宋" w:eastAsia="仿宋" w:cs="仿宋"/>
          <w:szCs w:val="32"/>
        </w:rPr>
        <w:t>（1）森林火灾过火面积在10公顷以上</w:t>
      </w:r>
      <w:r>
        <w:rPr>
          <w:rFonts w:hint="eastAsia" w:ascii="仿宋" w:hAnsi="仿宋" w:eastAsia="仿宋" w:cs="仿宋"/>
          <w:szCs w:val="32"/>
          <w:lang w:val="en-US" w:eastAsia="zh-CN"/>
        </w:rPr>
        <w:t>20</w:t>
      </w:r>
      <w:r>
        <w:rPr>
          <w:rFonts w:hint="eastAsia" w:ascii="仿宋" w:hAnsi="仿宋" w:eastAsia="仿宋" w:cs="仿宋"/>
          <w:szCs w:val="32"/>
        </w:rPr>
        <w:t>公顷以下。</w:t>
      </w:r>
    </w:p>
    <w:p>
      <w:pPr>
        <w:ind w:firstLine="640"/>
        <w:rPr>
          <w:rFonts w:ascii="仿宋" w:hAnsi="仿宋" w:eastAsia="仿宋" w:cs="仿宋"/>
          <w:szCs w:val="32"/>
        </w:rPr>
      </w:pPr>
      <w:r>
        <w:rPr>
          <w:rFonts w:hint="eastAsia" w:ascii="仿宋" w:hAnsi="仿宋" w:eastAsia="仿宋" w:cs="仿宋"/>
          <w:szCs w:val="32"/>
        </w:rPr>
        <w:t>（2）草原火灾过火面积</w:t>
      </w:r>
      <w:r>
        <w:rPr>
          <w:rFonts w:hint="eastAsia" w:ascii="仿宋" w:hAnsi="仿宋" w:eastAsia="仿宋" w:cs="仿宋"/>
          <w:szCs w:val="32"/>
          <w:lang w:val="en-US" w:eastAsia="zh-CN"/>
        </w:rPr>
        <w:t>1</w:t>
      </w:r>
      <w:r>
        <w:rPr>
          <w:rFonts w:hint="eastAsia" w:ascii="仿宋" w:hAnsi="仿宋" w:eastAsia="仿宋" w:cs="仿宋"/>
          <w:szCs w:val="32"/>
        </w:rPr>
        <w:t>000公顷以上</w:t>
      </w:r>
      <w:r>
        <w:rPr>
          <w:rFonts w:hint="eastAsia" w:ascii="仿宋" w:hAnsi="仿宋" w:eastAsia="仿宋" w:cs="仿宋"/>
          <w:szCs w:val="32"/>
          <w:lang w:val="en-US" w:eastAsia="zh-CN"/>
        </w:rPr>
        <w:t>2</w:t>
      </w:r>
      <w:r>
        <w:rPr>
          <w:rFonts w:hint="eastAsia" w:ascii="仿宋" w:hAnsi="仿宋" w:eastAsia="仿宋" w:cs="仿宋"/>
          <w:szCs w:val="32"/>
        </w:rPr>
        <w:t>000公顷以下。</w:t>
      </w:r>
    </w:p>
    <w:p>
      <w:pPr>
        <w:ind w:firstLine="640"/>
        <w:rPr>
          <w:rFonts w:ascii="仿宋" w:hAnsi="仿宋" w:eastAsia="仿宋" w:cs="仿宋"/>
          <w:szCs w:val="32"/>
        </w:rPr>
      </w:pPr>
      <w:r>
        <w:rPr>
          <w:rFonts w:hint="eastAsia" w:ascii="仿宋" w:hAnsi="仿宋" w:eastAsia="仿宋" w:cs="仿宋"/>
          <w:szCs w:val="32"/>
        </w:rPr>
        <w:t>（3）发生在敏感时段、敏感地区，6小时未得到有效控制的森林草原火灾。</w:t>
      </w:r>
    </w:p>
    <w:p>
      <w:pPr>
        <w:ind w:firstLine="640"/>
        <w:rPr>
          <w:rFonts w:ascii="仿宋" w:hAnsi="仿宋" w:eastAsia="仿宋" w:cs="仿宋"/>
          <w:szCs w:val="32"/>
        </w:rPr>
      </w:pPr>
      <w:r>
        <w:rPr>
          <w:rFonts w:hint="eastAsia" w:ascii="仿宋" w:hAnsi="仿宋" w:eastAsia="仿宋" w:cs="仿宋"/>
          <w:szCs w:val="32"/>
        </w:rPr>
        <w:t>（4）同时发生2起以上森林草原火灾，其中一起为较大森林草原火灾，森林火灾过火面积5公顷以上，或其中一起草原火灾过火面积50公顷以上。</w:t>
      </w:r>
    </w:p>
    <w:p>
      <w:pPr>
        <w:ind w:firstLine="640"/>
        <w:rPr>
          <w:rFonts w:ascii="仿宋" w:hAnsi="仿宋" w:eastAsia="仿宋" w:cs="仿宋"/>
          <w:szCs w:val="32"/>
        </w:rPr>
      </w:pPr>
      <w:r>
        <w:rPr>
          <w:rFonts w:hint="eastAsia" w:ascii="仿宋" w:hAnsi="仿宋" w:eastAsia="仿宋" w:cs="仿宋"/>
          <w:szCs w:val="32"/>
        </w:rPr>
        <w:t>（5）舆情高度关注，上级政府要求核查的森林草原火灾。</w:t>
      </w:r>
    </w:p>
    <w:p>
      <w:pPr>
        <w:ind w:firstLine="640"/>
        <w:rPr>
          <w:rFonts w:ascii="仿宋" w:hAnsi="仿宋" w:eastAsia="仿宋" w:cs="仿宋"/>
          <w:szCs w:val="32"/>
        </w:rPr>
      </w:pPr>
      <w:r>
        <w:rPr>
          <w:rFonts w:hint="eastAsia" w:ascii="仿宋" w:hAnsi="仿宋" w:eastAsia="仿宋" w:cs="仿宋"/>
          <w:szCs w:val="32"/>
        </w:rPr>
        <w:t>符合上述条件之一时，经区森防指办公室分析评估，认定灾情达到启动标准，经区森防指总指挥审批后，启动</w:t>
      </w:r>
      <w:r>
        <w:rPr>
          <w:rFonts w:hint="eastAsia" w:ascii="仿宋" w:hAnsi="仿宋" w:eastAsia="仿宋" w:cs="仿宋"/>
          <w:szCs w:val="32"/>
          <w:lang w:eastAsia="zh-CN"/>
        </w:rPr>
        <w:t>二</w:t>
      </w:r>
      <w:r>
        <w:rPr>
          <w:rFonts w:hint="eastAsia" w:ascii="仿宋" w:hAnsi="仿宋" w:eastAsia="仿宋" w:cs="仿宋"/>
          <w:szCs w:val="32"/>
        </w:rPr>
        <w:t>级响应。</w:t>
      </w:r>
    </w:p>
    <w:p>
      <w:pPr>
        <w:ind w:firstLine="640"/>
        <w:rPr>
          <w:rFonts w:ascii="仿宋" w:hAnsi="仿宋" w:eastAsia="仿宋" w:cs="仿宋"/>
          <w:szCs w:val="32"/>
        </w:rPr>
      </w:pPr>
      <w:r>
        <w:rPr>
          <w:rFonts w:hint="eastAsia" w:ascii="仿宋" w:hAnsi="仿宋" w:eastAsia="仿宋" w:cs="仿宋"/>
          <w:szCs w:val="32"/>
        </w:rPr>
        <w:t>（二）响应措施</w:t>
      </w:r>
    </w:p>
    <w:p>
      <w:pPr>
        <w:ind w:firstLine="640"/>
        <w:rPr>
          <w:rFonts w:ascii="仿宋" w:hAnsi="仿宋" w:eastAsia="仿宋" w:cs="仿宋"/>
          <w:szCs w:val="32"/>
        </w:rPr>
      </w:pPr>
      <w:r>
        <w:rPr>
          <w:rFonts w:hint="eastAsia" w:ascii="仿宋" w:hAnsi="仿宋" w:eastAsia="仿宋" w:cs="仿宋"/>
          <w:szCs w:val="32"/>
        </w:rPr>
        <w:t>区森防指立即将火情上报上级森防指，在上级森防指到达现场前，做好以下先期处置工作：</w:t>
      </w:r>
    </w:p>
    <w:p>
      <w:pPr>
        <w:ind w:firstLine="640"/>
        <w:rPr>
          <w:rFonts w:ascii="仿宋" w:hAnsi="仿宋" w:eastAsia="仿宋" w:cs="仿宋"/>
          <w:szCs w:val="32"/>
        </w:rPr>
      </w:pPr>
      <w:r>
        <w:rPr>
          <w:rFonts w:hint="eastAsia" w:ascii="仿宋" w:hAnsi="仿宋" w:eastAsia="仿宋" w:cs="仿宋"/>
          <w:szCs w:val="32"/>
        </w:rPr>
        <w:t>（1）区森防指组织有关成员单位召开会议联合会商，分析火险形势，研究扑救措施及保障工作。</w:t>
      </w:r>
    </w:p>
    <w:p>
      <w:pPr>
        <w:ind w:firstLine="640"/>
        <w:rPr>
          <w:rFonts w:ascii="仿宋" w:hAnsi="仿宋" w:eastAsia="仿宋" w:cs="仿宋"/>
          <w:szCs w:val="32"/>
        </w:rPr>
      </w:pPr>
      <w:r>
        <w:rPr>
          <w:rFonts w:hint="eastAsia" w:ascii="仿宋" w:hAnsi="仿宋" w:eastAsia="仿宋" w:cs="仿宋"/>
          <w:szCs w:val="32"/>
        </w:rPr>
        <w:t>（2）区森防指总指挥领导，带领相关成员单位负责人和专家组相关人员赶赴火场第一线，成立火场前线指挥部，组织指挥扑救工作。</w:t>
      </w:r>
    </w:p>
    <w:p>
      <w:pPr>
        <w:ind w:firstLine="640"/>
        <w:rPr>
          <w:rFonts w:ascii="仿宋" w:hAnsi="仿宋" w:eastAsia="仿宋" w:cs="仿宋"/>
          <w:szCs w:val="32"/>
        </w:rPr>
      </w:pPr>
      <w:r>
        <w:rPr>
          <w:rFonts w:hint="eastAsia" w:ascii="仿宋" w:hAnsi="仿宋" w:eastAsia="仿宋" w:cs="仿宋"/>
          <w:szCs w:val="32"/>
        </w:rPr>
        <w:t>（3）根据需要调动区消防救援大队、区消防救援支队实施增援；并预告驻玉泉区解放军、武警部队、民兵和预备役等做好火灾增援扑救准备。</w:t>
      </w:r>
    </w:p>
    <w:p>
      <w:pPr>
        <w:ind w:firstLine="640"/>
        <w:rPr>
          <w:rFonts w:ascii="仿宋" w:hAnsi="仿宋" w:eastAsia="仿宋" w:cs="仿宋"/>
          <w:szCs w:val="32"/>
        </w:rPr>
      </w:pPr>
      <w:r>
        <w:rPr>
          <w:rFonts w:hint="eastAsia" w:ascii="仿宋" w:hAnsi="仿宋" w:eastAsia="仿宋" w:cs="仿宋"/>
          <w:szCs w:val="32"/>
        </w:rPr>
        <w:t>（4）根据需要区森防指向上级森防指提出调动航空消防飞机支援的请求，适时开展空中指挥、吊桶作业、机降扑火。担负增援扑火任务的消防救援大队、专业扑火队伍、综合消防救援队伍视情组织机降扑火，根据直升机型号编成机降扑火梯队，并组织好机降扑火的安全工作。</w:t>
      </w:r>
    </w:p>
    <w:p>
      <w:pPr>
        <w:ind w:firstLine="640"/>
        <w:rPr>
          <w:rFonts w:ascii="仿宋" w:hAnsi="仿宋" w:eastAsia="仿宋" w:cs="仿宋"/>
          <w:szCs w:val="32"/>
        </w:rPr>
      </w:pPr>
      <w:r>
        <w:rPr>
          <w:rFonts w:hint="eastAsia" w:ascii="仿宋" w:hAnsi="仿宋" w:eastAsia="仿宋" w:cs="仿宋"/>
          <w:szCs w:val="32"/>
        </w:rPr>
        <w:t>（5）火灾监测组根据火场气象条件，指导当地开展人工影响天气作业。</w:t>
      </w:r>
    </w:p>
    <w:p>
      <w:pPr>
        <w:ind w:firstLine="640"/>
        <w:rPr>
          <w:rFonts w:ascii="仿宋" w:hAnsi="仿宋" w:eastAsia="仿宋" w:cs="仿宋"/>
          <w:szCs w:val="32"/>
        </w:rPr>
      </w:pPr>
      <w:r>
        <w:rPr>
          <w:rFonts w:hint="eastAsia" w:ascii="仿宋" w:hAnsi="仿宋" w:eastAsia="仿宋" w:cs="仿宋"/>
          <w:szCs w:val="32"/>
        </w:rPr>
        <w:t>（6）社会治安组加强重要目标和重大危险源的保护，根据需要调动区消防救援支队实施增援保护。</w:t>
      </w:r>
    </w:p>
    <w:p>
      <w:pPr>
        <w:ind w:firstLine="640"/>
        <w:rPr>
          <w:rFonts w:ascii="仿宋" w:hAnsi="仿宋" w:eastAsia="仿宋" w:cs="仿宋"/>
          <w:szCs w:val="32"/>
        </w:rPr>
      </w:pPr>
      <w:r>
        <w:rPr>
          <w:rFonts w:hint="eastAsia" w:ascii="仿宋" w:hAnsi="仿宋" w:eastAsia="仿宋" w:cs="仿宋"/>
          <w:szCs w:val="32"/>
        </w:rPr>
        <w:t>（7）群众生活组根据需要协调做好扑火物资调拨运输、卫生应急队伍增援等工作。</w:t>
      </w:r>
    </w:p>
    <w:p>
      <w:pPr>
        <w:ind w:firstLine="640"/>
        <w:rPr>
          <w:rFonts w:ascii="仿宋" w:hAnsi="仿宋" w:eastAsia="仿宋" w:cs="仿宋"/>
          <w:szCs w:val="32"/>
        </w:rPr>
      </w:pPr>
      <w:r>
        <w:rPr>
          <w:rFonts w:hint="eastAsia" w:ascii="仿宋" w:hAnsi="仿宋" w:eastAsia="仿宋" w:cs="仿宋"/>
          <w:szCs w:val="32"/>
        </w:rPr>
        <w:t>（8）宣传报道组做好灾情报道和舆情引导工作。</w:t>
      </w:r>
    </w:p>
    <w:p>
      <w:pPr>
        <w:ind w:firstLine="640"/>
        <w:rPr>
          <w:rFonts w:hint="eastAsia" w:ascii="仿宋" w:hAnsi="仿宋" w:eastAsia="仿宋" w:cs="仿宋"/>
          <w:sz w:val="30"/>
          <w:szCs w:val="30"/>
        </w:rPr>
      </w:pPr>
      <w:r>
        <w:rPr>
          <w:rFonts w:hint="eastAsia" w:ascii="仿宋" w:hAnsi="仿宋" w:eastAsia="仿宋" w:cs="仿宋"/>
          <w:sz w:val="30"/>
          <w:szCs w:val="30"/>
        </w:rPr>
        <w:t>6.3.4</w:t>
      </w:r>
      <w:r>
        <w:rPr>
          <w:rFonts w:hint="eastAsia" w:ascii="仿宋" w:hAnsi="仿宋" w:eastAsia="仿宋" w:cs="仿宋"/>
          <w:sz w:val="30"/>
          <w:szCs w:val="30"/>
          <w:lang w:eastAsia="zh-CN"/>
        </w:rPr>
        <w:t>一</w:t>
      </w:r>
      <w:r>
        <w:rPr>
          <w:rFonts w:hint="eastAsia" w:ascii="仿宋" w:hAnsi="仿宋" w:eastAsia="仿宋" w:cs="仿宋"/>
          <w:sz w:val="30"/>
          <w:szCs w:val="30"/>
        </w:rPr>
        <w:t>级响应</w:t>
      </w:r>
    </w:p>
    <w:p>
      <w:pPr>
        <w:ind w:firstLine="640"/>
        <w:rPr>
          <w:rFonts w:ascii="仿宋" w:hAnsi="仿宋" w:eastAsia="仿宋" w:cs="仿宋"/>
          <w:bCs/>
          <w:szCs w:val="32"/>
        </w:rPr>
      </w:pPr>
      <w:r>
        <w:rPr>
          <w:rFonts w:hint="eastAsia" w:ascii="仿宋" w:hAnsi="仿宋" w:eastAsia="仿宋" w:cs="仿宋"/>
          <w:bCs/>
          <w:szCs w:val="32"/>
        </w:rPr>
        <w:t>（一）启动标准</w:t>
      </w:r>
    </w:p>
    <w:p>
      <w:pPr>
        <w:ind w:firstLine="640"/>
        <w:rPr>
          <w:rFonts w:ascii="仿宋" w:hAnsi="仿宋" w:eastAsia="仿宋" w:cs="仿宋"/>
          <w:szCs w:val="32"/>
        </w:rPr>
      </w:pPr>
      <w:r>
        <w:rPr>
          <w:rFonts w:hint="eastAsia" w:ascii="仿宋" w:hAnsi="仿宋" w:eastAsia="仿宋" w:cs="仿宋"/>
          <w:szCs w:val="32"/>
        </w:rPr>
        <w:t>（1）森林火灾过火面积在</w:t>
      </w:r>
      <w:r>
        <w:rPr>
          <w:rFonts w:hint="eastAsia" w:ascii="仿宋" w:hAnsi="仿宋" w:eastAsia="仿宋" w:cs="仿宋"/>
          <w:szCs w:val="32"/>
          <w:lang w:val="en-US" w:eastAsia="zh-CN"/>
        </w:rPr>
        <w:t>20</w:t>
      </w:r>
      <w:r>
        <w:rPr>
          <w:rFonts w:hint="eastAsia" w:ascii="仿宋" w:hAnsi="仿宋" w:eastAsia="仿宋" w:cs="仿宋"/>
          <w:szCs w:val="32"/>
        </w:rPr>
        <w:t>公顷以上。</w:t>
      </w:r>
    </w:p>
    <w:p>
      <w:pPr>
        <w:ind w:firstLine="640"/>
        <w:rPr>
          <w:rFonts w:ascii="仿宋" w:hAnsi="仿宋" w:eastAsia="仿宋" w:cs="仿宋"/>
          <w:szCs w:val="32"/>
        </w:rPr>
      </w:pPr>
      <w:r>
        <w:rPr>
          <w:rFonts w:hint="eastAsia" w:ascii="仿宋" w:hAnsi="仿宋" w:eastAsia="仿宋" w:cs="仿宋"/>
          <w:szCs w:val="32"/>
        </w:rPr>
        <w:t>（2）草原火灾过火面积</w:t>
      </w:r>
      <w:r>
        <w:rPr>
          <w:rFonts w:hint="eastAsia" w:ascii="仿宋" w:hAnsi="仿宋" w:eastAsia="仿宋" w:cs="仿宋"/>
          <w:szCs w:val="32"/>
          <w:lang w:val="en-US" w:eastAsia="zh-CN"/>
        </w:rPr>
        <w:t>2</w:t>
      </w:r>
      <w:r>
        <w:rPr>
          <w:rFonts w:hint="eastAsia" w:ascii="仿宋" w:hAnsi="仿宋" w:eastAsia="仿宋" w:cs="仿宋"/>
          <w:szCs w:val="32"/>
        </w:rPr>
        <w:t>000公顷以上。</w:t>
      </w:r>
    </w:p>
    <w:p>
      <w:pPr>
        <w:ind w:firstLine="640"/>
        <w:rPr>
          <w:rFonts w:ascii="仿宋" w:hAnsi="仿宋" w:eastAsia="仿宋" w:cs="仿宋"/>
          <w:szCs w:val="32"/>
        </w:rPr>
      </w:pPr>
      <w:r>
        <w:rPr>
          <w:rFonts w:hint="eastAsia" w:ascii="仿宋" w:hAnsi="仿宋" w:eastAsia="仿宋" w:cs="仿宋"/>
          <w:szCs w:val="32"/>
        </w:rPr>
        <w:t>（3）造成1人以上死亡或3人以上重伤的森林草原火灾。</w:t>
      </w:r>
    </w:p>
    <w:p>
      <w:pPr>
        <w:ind w:firstLine="640"/>
        <w:rPr>
          <w:rFonts w:ascii="仿宋" w:hAnsi="仿宋" w:eastAsia="仿宋" w:cs="仿宋"/>
          <w:szCs w:val="32"/>
        </w:rPr>
      </w:pPr>
      <w:r>
        <w:rPr>
          <w:rFonts w:hint="eastAsia" w:ascii="仿宋" w:hAnsi="仿宋" w:eastAsia="仿宋" w:cs="仿宋"/>
          <w:szCs w:val="32"/>
        </w:rPr>
        <w:t>（4）发生在敏感时段、敏感地区，12小时未得到有效控制的森林草原火灾。</w:t>
      </w:r>
    </w:p>
    <w:p>
      <w:pPr>
        <w:ind w:firstLine="640"/>
        <w:rPr>
          <w:rFonts w:ascii="仿宋" w:hAnsi="仿宋" w:eastAsia="仿宋" w:cs="仿宋"/>
          <w:szCs w:val="32"/>
        </w:rPr>
      </w:pPr>
      <w:r>
        <w:rPr>
          <w:rFonts w:hint="eastAsia" w:ascii="仿宋" w:hAnsi="仿宋" w:eastAsia="仿宋" w:cs="仿宋"/>
          <w:szCs w:val="32"/>
        </w:rPr>
        <w:t>（5）发生森林草原火灾的地区，扑火力量严重不足，不能有效控制火场火势蔓延。</w:t>
      </w:r>
    </w:p>
    <w:p>
      <w:pPr>
        <w:ind w:firstLine="640"/>
        <w:rPr>
          <w:rFonts w:ascii="仿宋" w:hAnsi="仿宋" w:eastAsia="仿宋" w:cs="仿宋"/>
          <w:szCs w:val="32"/>
        </w:rPr>
      </w:pPr>
      <w:r>
        <w:rPr>
          <w:rFonts w:hint="eastAsia" w:ascii="仿宋" w:hAnsi="仿宋" w:eastAsia="仿宋" w:cs="仿宋"/>
          <w:szCs w:val="32"/>
        </w:rPr>
        <w:t>（6）威胁居民区、重要设施、自然保护区、森林公园等重要目标以及重大危险源的森林草原火灾，经济损失巨大。</w:t>
      </w:r>
    </w:p>
    <w:p>
      <w:pPr>
        <w:ind w:firstLine="640"/>
        <w:rPr>
          <w:rFonts w:ascii="仿宋" w:hAnsi="仿宋" w:eastAsia="仿宋" w:cs="仿宋"/>
          <w:szCs w:val="32"/>
        </w:rPr>
      </w:pPr>
      <w:r>
        <w:rPr>
          <w:rFonts w:hint="eastAsia" w:ascii="仿宋" w:hAnsi="仿宋" w:eastAsia="仿宋" w:cs="仿宋"/>
          <w:szCs w:val="32"/>
        </w:rPr>
        <w:t>（7）需要呼和浩特市支援扑救的森林草原火灾。</w:t>
      </w:r>
    </w:p>
    <w:p>
      <w:pPr>
        <w:ind w:firstLine="640"/>
        <w:rPr>
          <w:rFonts w:ascii="仿宋" w:hAnsi="仿宋" w:eastAsia="仿宋" w:cs="仿宋"/>
          <w:szCs w:val="32"/>
        </w:rPr>
      </w:pPr>
      <w:r>
        <w:rPr>
          <w:rFonts w:hint="eastAsia" w:ascii="仿宋" w:hAnsi="仿宋" w:eastAsia="仿宋" w:cs="仿宋"/>
          <w:szCs w:val="32"/>
        </w:rPr>
        <w:t>（8）发生在相邻旗县区交界地区危险性大的森林草原火灾。</w:t>
      </w:r>
    </w:p>
    <w:p>
      <w:pPr>
        <w:ind w:firstLine="640"/>
        <w:rPr>
          <w:rFonts w:ascii="仿宋" w:hAnsi="仿宋" w:eastAsia="仿宋" w:cs="仿宋"/>
          <w:szCs w:val="32"/>
        </w:rPr>
      </w:pPr>
      <w:r>
        <w:rPr>
          <w:rFonts w:hint="eastAsia" w:ascii="仿宋" w:hAnsi="仿宋" w:eastAsia="仿宋" w:cs="仿宋"/>
          <w:szCs w:val="32"/>
        </w:rPr>
        <w:t>符合上述条件之一时，经区森防指办公室分析评估，认定灾情达到启动标准，经区森防指总指挥审批后，启动</w:t>
      </w:r>
      <w:r>
        <w:rPr>
          <w:rFonts w:hint="eastAsia" w:ascii="仿宋" w:hAnsi="仿宋" w:eastAsia="仿宋" w:cs="仿宋"/>
          <w:szCs w:val="32"/>
          <w:lang w:eastAsia="zh-CN"/>
        </w:rPr>
        <w:t>一</w:t>
      </w:r>
      <w:r>
        <w:rPr>
          <w:rFonts w:hint="eastAsia" w:ascii="仿宋" w:hAnsi="仿宋" w:eastAsia="仿宋" w:cs="仿宋"/>
          <w:szCs w:val="32"/>
        </w:rPr>
        <w:t>级响应。</w:t>
      </w:r>
    </w:p>
    <w:p>
      <w:pPr>
        <w:ind w:firstLine="640"/>
        <w:rPr>
          <w:rFonts w:ascii="仿宋" w:hAnsi="仿宋" w:eastAsia="仿宋" w:cs="仿宋"/>
          <w:szCs w:val="32"/>
        </w:rPr>
      </w:pPr>
      <w:r>
        <w:rPr>
          <w:rFonts w:hint="eastAsia" w:ascii="仿宋" w:hAnsi="仿宋" w:eastAsia="仿宋" w:cs="仿宋"/>
          <w:szCs w:val="32"/>
        </w:rPr>
        <w:t>（二）响应措施</w:t>
      </w:r>
    </w:p>
    <w:p>
      <w:pPr>
        <w:ind w:firstLine="640"/>
        <w:rPr>
          <w:rFonts w:ascii="仿宋" w:hAnsi="仿宋" w:eastAsia="仿宋" w:cs="仿宋"/>
          <w:szCs w:val="32"/>
        </w:rPr>
      </w:pPr>
      <w:r>
        <w:rPr>
          <w:rFonts w:hint="eastAsia" w:ascii="仿宋" w:hAnsi="仿宋" w:eastAsia="仿宋" w:cs="仿宋"/>
          <w:szCs w:val="32"/>
        </w:rPr>
        <w:t>区森防指立即将火情上报上级森防指，在上级森防指到达现场前，做好以下先期处置工作：</w:t>
      </w:r>
    </w:p>
    <w:p>
      <w:pPr>
        <w:ind w:firstLine="640"/>
        <w:rPr>
          <w:rFonts w:ascii="仿宋" w:hAnsi="仿宋" w:eastAsia="仿宋" w:cs="仿宋"/>
          <w:szCs w:val="32"/>
        </w:rPr>
      </w:pPr>
      <w:r>
        <w:rPr>
          <w:rFonts w:hint="eastAsia" w:ascii="仿宋" w:hAnsi="仿宋" w:eastAsia="仿宋" w:cs="仿宋"/>
          <w:szCs w:val="32"/>
        </w:rPr>
        <w:t>（1）区森防指总指挥率工作组赶赴一线组织指挥</w:t>
      </w:r>
      <w:r>
        <w:rPr>
          <w:rFonts w:hint="eastAsia" w:ascii="仿宋" w:hAnsi="仿宋" w:eastAsia="仿宋" w:cs="仿宋"/>
          <w:szCs w:val="32"/>
          <w:lang w:val="en-US" w:eastAsia="zh-CN"/>
        </w:rPr>
        <w:t>森林草原火灾扑救</w:t>
      </w:r>
      <w:r>
        <w:rPr>
          <w:rFonts w:hint="eastAsia" w:ascii="仿宋" w:hAnsi="仿宋" w:eastAsia="仿宋" w:cs="仿宋"/>
          <w:szCs w:val="32"/>
        </w:rPr>
        <w:t>工作。</w:t>
      </w:r>
    </w:p>
    <w:p>
      <w:pPr>
        <w:ind w:firstLine="640"/>
        <w:rPr>
          <w:rFonts w:ascii="仿宋" w:hAnsi="仿宋" w:eastAsia="仿宋" w:cs="仿宋"/>
          <w:szCs w:val="32"/>
        </w:rPr>
      </w:pPr>
      <w:r>
        <w:rPr>
          <w:rFonts w:hint="eastAsia" w:ascii="仿宋" w:hAnsi="仿宋" w:eastAsia="仿宋" w:cs="仿宋"/>
          <w:szCs w:val="32"/>
        </w:rPr>
        <w:t>（2）请求上级力量调动驻地解放军、武警部队、民兵和预备役等应急力量增援火灾扑救。</w:t>
      </w:r>
    </w:p>
    <w:p>
      <w:pPr>
        <w:ind w:firstLine="640"/>
        <w:rPr>
          <w:rFonts w:ascii="仿宋" w:hAnsi="仿宋" w:eastAsia="仿宋" w:cs="仿宋"/>
          <w:szCs w:val="32"/>
        </w:rPr>
      </w:pPr>
      <w:r>
        <w:rPr>
          <w:rFonts w:hint="eastAsia" w:ascii="仿宋" w:hAnsi="仿宋" w:eastAsia="仿宋" w:cs="仿宋"/>
          <w:szCs w:val="32"/>
        </w:rPr>
        <w:t>（3）根据需要调动社会森林草原火灾扑救</w:t>
      </w:r>
      <w:r>
        <w:rPr>
          <w:rFonts w:hint="eastAsia" w:ascii="仿宋" w:hAnsi="仿宋" w:eastAsia="仿宋" w:cs="仿宋"/>
          <w:szCs w:val="32"/>
          <w:lang w:val="en-US" w:eastAsia="zh-CN"/>
        </w:rPr>
        <w:t>力量</w:t>
      </w:r>
      <w:r>
        <w:rPr>
          <w:rFonts w:hint="eastAsia" w:ascii="仿宋" w:hAnsi="仿宋" w:eastAsia="仿宋" w:cs="仿宋"/>
          <w:szCs w:val="32"/>
        </w:rPr>
        <w:t>，指导组织动员当地林区牧区职工、机关干部等力量协助做好扑救工作。</w:t>
      </w:r>
    </w:p>
    <w:p>
      <w:pPr>
        <w:ind w:firstLine="640"/>
        <w:rPr>
          <w:rFonts w:ascii="仿宋" w:hAnsi="仿宋" w:eastAsia="仿宋" w:cs="仿宋"/>
          <w:szCs w:val="32"/>
        </w:rPr>
      </w:pPr>
      <w:r>
        <w:rPr>
          <w:rFonts w:hint="eastAsia" w:ascii="仿宋" w:hAnsi="仿宋" w:eastAsia="仿宋" w:cs="仿宋"/>
          <w:szCs w:val="32"/>
        </w:rPr>
        <w:t>（4）根据需要向上级森防指提出需要国家调动飞机支援的请求。</w:t>
      </w:r>
    </w:p>
    <w:p>
      <w:pPr>
        <w:ind w:firstLine="640"/>
        <w:rPr>
          <w:rFonts w:ascii="仿宋" w:hAnsi="仿宋" w:eastAsia="仿宋" w:cs="仿宋"/>
          <w:szCs w:val="32"/>
        </w:rPr>
      </w:pPr>
      <w:r>
        <w:rPr>
          <w:rFonts w:hint="eastAsia" w:ascii="仿宋" w:hAnsi="仿宋" w:eastAsia="仿宋" w:cs="仿宋"/>
          <w:szCs w:val="32"/>
        </w:rPr>
        <w:t>（5）群众生活组安排生活救助物资，增派卫生应急队伍加强伤员救治，协调实施跨旗县区转移受威胁群众。</w:t>
      </w:r>
    </w:p>
    <w:p>
      <w:pPr>
        <w:ind w:firstLine="640"/>
        <w:rPr>
          <w:rFonts w:ascii="仿宋" w:hAnsi="仿宋" w:eastAsia="仿宋" w:cs="仿宋"/>
          <w:szCs w:val="32"/>
        </w:rPr>
      </w:pPr>
      <w:r>
        <w:rPr>
          <w:rFonts w:hint="eastAsia" w:ascii="仿宋" w:hAnsi="仿宋" w:eastAsia="仿宋" w:cs="仿宋"/>
          <w:szCs w:val="32"/>
        </w:rPr>
        <w:t>（6）社会治安组组织做好重要目标和重大危险源的保护，防范次生灾害。</w:t>
      </w:r>
    </w:p>
    <w:p>
      <w:pPr>
        <w:ind w:firstLine="640"/>
        <w:rPr>
          <w:rFonts w:ascii="仿宋" w:hAnsi="仿宋" w:eastAsia="仿宋" w:cs="仿宋"/>
          <w:szCs w:val="32"/>
        </w:rPr>
      </w:pPr>
      <w:r>
        <w:rPr>
          <w:rFonts w:hint="eastAsia" w:ascii="仿宋" w:hAnsi="仿宋" w:eastAsia="仿宋" w:cs="仿宋"/>
          <w:szCs w:val="32"/>
        </w:rPr>
        <w:t>（7）火灾监测组进一步加强气象服务，必要时申请调派移动气象站到火场，提供应急气象服务；根据天气条件，组织实施人工影响天气作业。</w:t>
      </w:r>
    </w:p>
    <w:p>
      <w:pPr>
        <w:ind w:firstLine="640"/>
        <w:rPr>
          <w:rFonts w:ascii="仿宋" w:hAnsi="仿宋" w:eastAsia="仿宋" w:cs="仿宋"/>
          <w:szCs w:val="32"/>
        </w:rPr>
      </w:pPr>
      <w:r>
        <w:rPr>
          <w:rFonts w:hint="eastAsia" w:ascii="仿宋" w:hAnsi="仿宋" w:eastAsia="仿宋" w:cs="仿宋"/>
          <w:szCs w:val="32"/>
        </w:rPr>
        <w:t>（8）宣传报道组建立新闻发布和媒体采访服务管理机制，及时、定时组织新闻发布会，协调指导玉泉区媒体做好报道，加强舆论引导工作。</w:t>
      </w:r>
    </w:p>
    <w:p>
      <w:pPr>
        <w:pStyle w:val="2"/>
        <w:ind w:left="0" w:leftChars="0" w:firstLine="640"/>
        <w:rPr>
          <w:rFonts w:ascii="仿宋" w:hAnsi="仿宋" w:eastAsia="仿宋" w:cs="仿宋"/>
          <w:szCs w:val="32"/>
        </w:rPr>
      </w:pPr>
      <w:r>
        <w:rPr>
          <w:rFonts w:hint="eastAsia" w:ascii="仿宋" w:hAnsi="仿宋" w:eastAsia="仿宋" w:cs="仿宋"/>
          <w:szCs w:val="32"/>
        </w:rPr>
        <w:t>（9）决定森林草原火灾扑救其他重大事项。</w:t>
      </w:r>
    </w:p>
    <w:p>
      <w:pPr>
        <w:ind w:firstLine="640"/>
        <w:rPr>
          <w:rFonts w:hint="eastAsia" w:ascii="仿宋" w:hAnsi="仿宋" w:eastAsia="仿宋" w:cs="仿宋"/>
          <w:sz w:val="30"/>
          <w:szCs w:val="30"/>
        </w:rPr>
      </w:pPr>
      <w:r>
        <w:rPr>
          <w:rFonts w:hint="eastAsia" w:ascii="仿宋" w:hAnsi="仿宋" w:eastAsia="仿宋" w:cs="仿宋"/>
          <w:sz w:val="30"/>
          <w:szCs w:val="30"/>
        </w:rPr>
        <w:t>6.3.5启动条件调整</w:t>
      </w:r>
    </w:p>
    <w:p>
      <w:pPr>
        <w:ind w:firstLine="640"/>
        <w:rPr>
          <w:rFonts w:ascii="仿宋" w:hAnsi="仿宋" w:eastAsia="仿宋" w:cs="仿宋"/>
          <w:szCs w:val="32"/>
        </w:rPr>
      </w:pPr>
      <w:r>
        <w:rPr>
          <w:rFonts w:hint="eastAsia" w:ascii="仿宋" w:hAnsi="仿宋" w:eastAsia="仿宋" w:cs="仿宋"/>
          <w:szCs w:val="32"/>
        </w:rPr>
        <w:t>根据森林草原火灾发生在敏感地区、敏感时间，受害森林草原资源损失程度，经济、社会影响程度，启动森林草原火灾应急响应的标准可酌情调整。</w:t>
      </w:r>
    </w:p>
    <w:p>
      <w:pPr>
        <w:ind w:firstLine="640"/>
        <w:rPr>
          <w:rFonts w:hint="eastAsia" w:ascii="仿宋" w:hAnsi="仿宋" w:eastAsia="仿宋" w:cs="仿宋"/>
          <w:sz w:val="30"/>
          <w:szCs w:val="30"/>
        </w:rPr>
      </w:pPr>
      <w:r>
        <w:rPr>
          <w:rFonts w:hint="eastAsia" w:ascii="仿宋" w:hAnsi="仿宋" w:eastAsia="仿宋" w:cs="仿宋"/>
          <w:sz w:val="30"/>
          <w:szCs w:val="30"/>
        </w:rPr>
        <w:t>6.3.6响应终止</w:t>
      </w:r>
    </w:p>
    <w:p>
      <w:pPr>
        <w:ind w:firstLine="640"/>
        <w:rPr>
          <w:rFonts w:ascii="仿宋" w:hAnsi="仿宋" w:eastAsia="仿宋" w:cs="仿宋"/>
          <w:szCs w:val="32"/>
        </w:rPr>
      </w:pPr>
      <w:r>
        <w:rPr>
          <w:rFonts w:hint="eastAsia" w:ascii="仿宋" w:hAnsi="仿宋" w:eastAsia="仿宋" w:cs="仿宋"/>
          <w:szCs w:val="32"/>
        </w:rPr>
        <w:t>森林草原火灾扑救工作结束后，由区森防指办公室提出建议，按启动响应的相应权限终止响应。</w:t>
      </w:r>
    </w:p>
    <w:p>
      <w:pPr>
        <w:pStyle w:val="8"/>
        <w:ind w:firstLine="643"/>
        <w:rPr>
          <w:rFonts w:hint="default" w:ascii="仿宋" w:hAnsi="仿宋" w:eastAsia="仿宋" w:cs="仿宋"/>
          <w:szCs w:val="32"/>
        </w:rPr>
      </w:pPr>
      <w:bookmarkStart w:id="146" w:name="_Toc27275"/>
      <w:bookmarkStart w:id="147" w:name="_Toc30257"/>
      <w:bookmarkStart w:id="148" w:name="_Toc4053"/>
      <w:bookmarkStart w:id="149" w:name="_Toc6622"/>
      <w:bookmarkStart w:id="150" w:name="_Toc14724"/>
      <w:r>
        <w:rPr>
          <w:rFonts w:ascii="仿宋" w:hAnsi="仿宋" w:eastAsia="仿宋" w:cs="仿宋"/>
          <w:szCs w:val="32"/>
        </w:rPr>
        <w:t>7 综合保障</w:t>
      </w:r>
      <w:bookmarkEnd w:id="146"/>
      <w:bookmarkEnd w:id="147"/>
      <w:bookmarkEnd w:id="148"/>
      <w:bookmarkEnd w:id="149"/>
      <w:bookmarkEnd w:id="150"/>
    </w:p>
    <w:p>
      <w:pPr>
        <w:pStyle w:val="9"/>
        <w:ind w:firstLine="640"/>
        <w:rPr>
          <w:rFonts w:ascii="仿宋" w:hAnsi="仿宋" w:eastAsia="仿宋" w:cs="仿宋"/>
        </w:rPr>
      </w:pPr>
      <w:bookmarkStart w:id="151" w:name="_Toc18683"/>
      <w:bookmarkStart w:id="152" w:name="_Toc23991"/>
      <w:bookmarkStart w:id="153" w:name="_Toc32370"/>
      <w:bookmarkStart w:id="154" w:name="_Toc9584"/>
      <w:bookmarkStart w:id="155" w:name="_Toc27222"/>
      <w:r>
        <w:rPr>
          <w:rFonts w:hint="eastAsia" w:ascii="仿宋" w:hAnsi="仿宋" w:eastAsia="仿宋" w:cs="仿宋"/>
        </w:rPr>
        <w:t>7.1 通信保障</w:t>
      </w:r>
      <w:bookmarkEnd w:id="151"/>
      <w:bookmarkEnd w:id="152"/>
      <w:bookmarkEnd w:id="153"/>
      <w:bookmarkEnd w:id="154"/>
      <w:bookmarkEnd w:id="155"/>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区政府应建立健全森林草原防灭火应急通信保障体系，配备与扑火需要相适应的通信设备和通信指挥车。跨区增援扑火时，要利用当地的森林防火通信网络和火场应急通信保障体系，加入当地火场前线指挥部的通信指挥系统。扑火指挥需要公共移动通信网络保障时，组织当地通信公司设立临时基站，保证公共移动通信网络覆盖扑火指挥区域；在充分利用当地森林防火通信网络的基础上，由当地通信管理部门建立火场应急通信系统，采用卫星通信和短波、超短波通信，确保信息畅通；必要时，由市无线电管理部门调派通信指挥车到火灾现场提供应急通信保障。 </w:t>
      </w:r>
    </w:p>
    <w:p>
      <w:pPr>
        <w:pStyle w:val="9"/>
        <w:ind w:firstLine="640"/>
        <w:rPr>
          <w:rFonts w:ascii="仿宋" w:hAnsi="仿宋" w:eastAsia="仿宋" w:cs="仿宋"/>
        </w:rPr>
      </w:pPr>
      <w:bookmarkStart w:id="156" w:name="_Toc4583"/>
      <w:bookmarkStart w:id="157" w:name="_Toc21702"/>
      <w:bookmarkStart w:id="158" w:name="_Toc4893"/>
      <w:bookmarkStart w:id="159" w:name="_Toc21358"/>
      <w:bookmarkStart w:id="160" w:name="_Toc8406"/>
      <w:r>
        <w:rPr>
          <w:rFonts w:hint="eastAsia" w:ascii="仿宋" w:hAnsi="仿宋" w:eastAsia="仿宋" w:cs="仿宋"/>
        </w:rPr>
        <w:t>7.2 信息保障</w:t>
      </w:r>
      <w:bookmarkEnd w:id="156"/>
      <w:bookmarkEnd w:id="157"/>
      <w:bookmarkEnd w:id="158"/>
      <w:bookmarkEnd w:id="159"/>
      <w:bookmarkEnd w:id="160"/>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区应急、林草</w:t>
      </w:r>
      <w:r>
        <w:rPr>
          <w:rFonts w:hint="eastAsia" w:ascii="仿宋" w:hAnsi="仿宋" w:eastAsia="仿宋" w:cs="仿宋"/>
          <w:szCs w:val="32"/>
          <w:lang w:val="en-US" w:eastAsia="zh-CN"/>
        </w:rPr>
        <w:t>以及气象</w:t>
      </w:r>
      <w:r>
        <w:rPr>
          <w:rFonts w:hint="eastAsia" w:ascii="仿宋" w:hAnsi="仿宋" w:eastAsia="仿宋" w:cs="仿宋"/>
          <w:szCs w:val="32"/>
        </w:rPr>
        <w:t xml:space="preserve">等部门要及时提供火灾现地天气形势分析数据、卫星火情监测云图、火场实况图片图像、电子地图及火情调度等信息，为扑火指挥提供辅助决策支持。 </w:t>
      </w:r>
    </w:p>
    <w:p>
      <w:pPr>
        <w:pStyle w:val="9"/>
        <w:ind w:firstLine="640"/>
        <w:rPr>
          <w:rFonts w:ascii="仿宋" w:hAnsi="仿宋" w:eastAsia="仿宋" w:cs="仿宋"/>
        </w:rPr>
      </w:pPr>
      <w:bookmarkStart w:id="161" w:name="_Toc9556"/>
      <w:bookmarkStart w:id="162" w:name="_Toc5046"/>
      <w:bookmarkStart w:id="163" w:name="_Toc18494"/>
      <w:bookmarkStart w:id="164" w:name="_Toc14541"/>
      <w:bookmarkStart w:id="165" w:name="_Toc26536"/>
      <w:r>
        <w:rPr>
          <w:rFonts w:hint="eastAsia" w:ascii="仿宋" w:hAnsi="仿宋" w:eastAsia="仿宋" w:cs="仿宋"/>
        </w:rPr>
        <w:t>7.3 输送保障</w:t>
      </w:r>
      <w:bookmarkEnd w:id="161"/>
      <w:bookmarkEnd w:id="162"/>
      <w:bookmarkEnd w:id="163"/>
      <w:bookmarkEnd w:id="164"/>
      <w:bookmarkEnd w:id="165"/>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增援扑火力量及携行装备的机动输送， 近距离</w:t>
      </w:r>
      <w:r>
        <w:rPr>
          <w:rFonts w:hint="eastAsia" w:ascii="仿宋" w:hAnsi="仿宋" w:eastAsia="仿宋" w:cs="仿宋"/>
          <w:szCs w:val="32"/>
          <w:lang w:val="en-US" w:eastAsia="zh-CN"/>
        </w:rPr>
        <w:t>山林地区</w:t>
      </w:r>
      <w:r>
        <w:rPr>
          <w:rFonts w:hint="eastAsia" w:ascii="仿宋" w:hAnsi="仿宋" w:eastAsia="仿宋" w:cs="仿宋"/>
          <w:szCs w:val="32"/>
        </w:rPr>
        <w:t>以摩托化方式为主，远程以</w:t>
      </w:r>
      <w:r>
        <w:rPr>
          <w:rFonts w:hint="eastAsia" w:ascii="仿宋" w:hAnsi="仿宋" w:eastAsia="仿宋" w:cs="仿宋"/>
          <w:szCs w:val="32"/>
          <w:lang w:val="en-US" w:eastAsia="zh-CN"/>
        </w:rPr>
        <w:t>公路</w:t>
      </w:r>
      <w:r>
        <w:rPr>
          <w:rFonts w:hint="eastAsia" w:ascii="仿宋" w:hAnsi="仿宋" w:eastAsia="仿宋" w:cs="仿宋"/>
          <w:szCs w:val="32"/>
        </w:rPr>
        <w:t>方式投送，</w:t>
      </w:r>
      <w:r>
        <w:rPr>
          <w:rFonts w:hint="eastAsia" w:ascii="仿宋" w:hAnsi="仿宋" w:eastAsia="仿宋" w:cs="仿宋"/>
          <w:szCs w:val="32"/>
          <w:lang w:val="en-US" w:eastAsia="zh-CN"/>
        </w:rPr>
        <w:t>市外扑火力量以高铁为主，</w:t>
      </w:r>
      <w:r>
        <w:rPr>
          <w:rFonts w:hint="eastAsia" w:ascii="仿宋" w:hAnsi="仿宋" w:eastAsia="仿宋" w:cs="仿宋"/>
          <w:szCs w:val="32"/>
        </w:rPr>
        <w:t xml:space="preserve">由铁路部门下达输送任务，由所在地森林草原防灭火指挥机构联系所在地铁路部门实施。 </w:t>
      </w:r>
    </w:p>
    <w:p>
      <w:pPr>
        <w:pStyle w:val="9"/>
        <w:ind w:firstLine="640"/>
        <w:rPr>
          <w:rFonts w:ascii="仿宋" w:hAnsi="仿宋" w:eastAsia="仿宋" w:cs="仿宋"/>
        </w:rPr>
      </w:pPr>
      <w:bookmarkStart w:id="166" w:name="_Toc15740"/>
      <w:bookmarkStart w:id="167" w:name="_Toc23813"/>
      <w:bookmarkStart w:id="168" w:name="_Toc7616"/>
      <w:bookmarkStart w:id="169" w:name="_Toc6773"/>
      <w:bookmarkStart w:id="170" w:name="_Toc19737"/>
      <w:r>
        <w:rPr>
          <w:rFonts w:hint="eastAsia" w:ascii="仿宋" w:hAnsi="仿宋" w:eastAsia="仿宋" w:cs="仿宋"/>
        </w:rPr>
        <w:t>7.4 物资保障</w:t>
      </w:r>
      <w:bookmarkEnd w:id="166"/>
      <w:bookmarkEnd w:id="167"/>
      <w:bookmarkEnd w:id="168"/>
      <w:bookmarkEnd w:id="169"/>
      <w:bookmarkEnd w:id="170"/>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区应急管理局、</w:t>
      </w:r>
      <w:r>
        <w:rPr>
          <w:rFonts w:hint="eastAsia" w:ascii="仿宋" w:hAnsi="仿宋" w:eastAsia="仿宋" w:cs="仿宋"/>
          <w:szCs w:val="32"/>
          <w:lang w:eastAsia="zh-CN"/>
        </w:rPr>
        <w:t>区林业和草原分局</w:t>
      </w:r>
      <w:r>
        <w:rPr>
          <w:rFonts w:hint="eastAsia" w:ascii="仿宋" w:hAnsi="仿宋" w:eastAsia="仿宋" w:cs="仿宋"/>
          <w:szCs w:val="32"/>
        </w:rPr>
        <w:t>会同区发展改革委、财政局研究建立集中管理、统一调拨，平时服务、战时应急，采储结合、节约高效的应急物资保障体系。加强重点地区森林草原防灭火物资储备库建设。科学调整储备规模结构，合理确定灭火、防护、侦通、野外生存和大型机械等常规储备规模，适当增加高技术灭火装备、特种装备器材储备。区森林草原防灭火指挥机构根据本地森林草原防灭火工作需要，建立本级森林草原防灭火物资储备库，储备所需的扑火机具、装备和物资。</w:t>
      </w:r>
    </w:p>
    <w:p>
      <w:pPr>
        <w:pStyle w:val="9"/>
        <w:ind w:firstLine="640"/>
        <w:rPr>
          <w:rFonts w:ascii="仿宋" w:hAnsi="仿宋" w:eastAsia="仿宋" w:cs="仿宋"/>
        </w:rPr>
      </w:pPr>
      <w:bookmarkStart w:id="171" w:name="_Toc31467"/>
      <w:bookmarkStart w:id="172" w:name="_Toc5774"/>
      <w:bookmarkStart w:id="173" w:name="_Toc30201"/>
      <w:bookmarkStart w:id="174" w:name="_Toc11985"/>
      <w:bookmarkStart w:id="175" w:name="_Toc16551"/>
      <w:r>
        <w:rPr>
          <w:rFonts w:hint="eastAsia" w:ascii="仿宋" w:hAnsi="仿宋" w:eastAsia="仿宋" w:cs="仿宋"/>
        </w:rPr>
        <w:t>7.5 资金保障</w:t>
      </w:r>
      <w:bookmarkEnd w:id="171"/>
      <w:bookmarkEnd w:id="172"/>
      <w:bookmarkEnd w:id="173"/>
      <w:bookmarkEnd w:id="174"/>
      <w:bookmarkEnd w:id="175"/>
      <w:r>
        <w:rPr>
          <w:rFonts w:hint="eastAsia" w:ascii="仿宋" w:hAnsi="仿宋" w:eastAsia="仿宋" w:cs="仿宋"/>
        </w:rPr>
        <w:t xml:space="preserve"> </w:t>
      </w:r>
    </w:p>
    <w:p>
      <w:pPr>
        <w:ind w:firstLine="640"/>
        <w:rPr>
          <w:rFonts w:hint="eastAsia" w:ascii="仿宋" w:hAnsi="仿宋" w:eastAsia="仿宋" w:cs="仿宋"/>
          <w:szCs w:val="32"/>
        </w:rPr>
      </w:pPr>
      <w:r>
        <w:rPr>
          <w:rFonts w:hint="eastAsia" w:ascii="仿宋" w:hAnsi="仿宋" w:eastAsia="仿宋" w:cs="仿宋"/>
          <w:szCs w:val="32"/>
        </w:rPr>
        <w:t>区政府应将森林草原防灭火基础设施建设纳入本级国民经济和社会发展规划，将防灭火经费纳入本级财政预算，保障森林草原防灭火所需支出。处置较大以上森林草原火灾所需经费，按照事权与支出责任划分的原则分级负担，区财政对较大以上森林火灾损失较大的相关区给予适当补助。发生重大以上森林草原火灾时，区财政应对森林草原扑火救灾工作中发生的运输交通、人工增雨、卫星通信、医疗救助、火灾评估及装备、食品、油耗等物资消耗费用给予补助。</w:t>
      </w:r>
    </w:p>
    <w:p>
      <w:pPr>
        <w:pStyle w:val="9"/>
        <w:ind w:firstLine="640"/>
        <w:rPr>
          <w:rFonts w:hint="eastAsia" w:ascii="仿宋" w:hAnsi="仿宋" w:eastAsia="仿宋" w:cs="仿宋"/>
          <w:lang w:val="en-US" w:eastAsia="zh-CN"/>
        </w:rPr>
      </w:pPr>
      <w:bookmarkStart w:id="176" w:name="_Toc21105"/>
      <w:r>
        <w:rPr>
          <w:rFonts w:hint="eastAsia" w:ascii="仿宋" w:hAnsi="仿宋" w:eastAsia="仿宋" w:cs="仿宋"/>
          <w:lang w:val="en-US" w:eastAsia="zh-CN"/>
        </w:rPr>
        <w:t>7.6医疗保障</w:t>
      </w:r>
      <w:bookmarkEnd w:id="176"/>
    </w:p>
    <w:p>
      <w:pPr>
        <w:ind w:firstLine="640"/>
        <w:rPr>
          <w:rFonts w:hint="default" w:ascii="仿宋" w:hAnsi="仿宋" w:eastAsia="仿宋" w:cs="仿宋"/>
          <w:szCs w:val="32"/>
          <w:lang w:val="en-US" w:eastAsia="zh-CN"/>
        </w:rPr>
      </w:pPr>
      <w:r>
        <w:rPr>
          <w:rFonts w:hint="default" w:ascii="仿宋" w:hAnsi="仿宋" w:eastAsia="仿宋" w:cs="仿宋"/>
          <w:szCs w:val="32"/>
          <w:lang w:val="en-US" w:eastAsia="zh-CN"/>
        </w:rPr>
        <w:t>卫生健康委员会负责</w:t>
      </w:r>
      <w:r>
        <w:rPr>
          <w:rFonts w:hint="eastAsia" w:ascii="仿宋" w:hAnsi="仿宋" w:eastAsia="仿宋" w:cs="仿宋"/>
          <w:szCs w:val="32"/>
          <w:lang w:val="en-US" w:eastAsia="zh-CN"/>
        </w:rPr>
        <w:t>玉泉</w:t>
      </w:r>
      <w:r>
        <w:rPr>
          <w:rFonts w:hint="default" w:ascii="仿宋" w:hAnsi="仿宋" w:eastAsia="仿宋" w:cs="仿宋"/>
          <w:szCs w:val="32"/>
          <w:lang w:val="en-US" w:eastAsia="zh-CN"/>
        </w:rPr>
        <w:t>区医疗卫生应急专业救援队伍建设，根据需要及时赴灾区开展医疗救治和卫生防疫等工作。</w:t>
      </w:r>
    </w:p>
    <w:p>
      <w:pPr>
        <w:ind w:firstLine="640"/>
        <w:rPr>
          <w:rFonts w:hint="default" w:ascii="仿宋" w:hAnsi="仿宋" w:eastAsia="仿宋" w:cs="仿宋"/>
          <w:szCs w:val="32"/>
          <w:lang w:val="en-US" w:eastAsia="zh-CN"/>
        </w:rPr>
      </w:pPr>
      <w:r>
        <w:rPr>
          <w:rFonts w:hint="default" w:ascii="仿宋" w:hAnsi="仿宋" w:eastAsia="仿宋" w:cs="仿宋"/>
          <w:szCs w:val="32"/>
          <w:lang w:val="en-US" w:eastAsia="zh-CN"/>
        </w:rPr>
        <w:t>有关部门根据实际情况和</w:t>
      </w:r>
      <w:r>
        <w:rPr>
          <w:rFonts w:hint="eastAsia" w:ascii="仿宋" w:hAnsi="仿宋" w:eastAsia="仿宋" w:cs="仿宋"/>
          <w:szCs w:val="32"/>
          <w:lang w:val="en-US" w:eastAsia="zh-CN"/>
        </w:rPr>
        <w:t>各乡镇、街道办事处</w:t>
      </w:r>
      <w:r>
        <w:rPr>
          <w:rFonts w:hint="default" w:ascii="仿宋" w:hAnsi="仿宋" w:eastAsia="仿宋" w:cs="仿宋"/>
          <w:szCs w:val="32"/>
          <w:lang w:val="en-US" w:eastAsia="zh-CN"/>
        </w:rPr>
        <w:t>请求，及时为受灾地区提供药品、器械等医疗卫生物资和设备。必要时，动员红十字会等社会力量参与现场应急救护工作。</w:t>
      </w:r>
    </w:p>
    <w:p>
      <w:pPr>
        <w:pStyle w:val="8"/>
        <w:ind w:firstLine="643"/>
        <w:rPr>
          <w:rFonts w:hint="default" w:ascii="仿宋" w:hAnsi="仿宋" w:eastAsia="仿宋" w:cs="仿宋"/>
          <w:szCs w:val="32"/>
        </w:rPr>
      </w:pPr>
      <w:bookmarkStart w:id="177" w:name="_Toc32638"/>
      <w:bookmarkStart w:id="178" w:name="_Toc16899"/>
      <w:r>
        <w:rPr>
          <w:rFonts w:ascii="仿宋" w:hAnsi="仿宋" w:eastAsia="仿宋" w:cs="仿宋"/>
          <w:szCs w:val="32"/>
        </w:rPr>
        <w:t>8 后期处置</w:t>
      </w:r>
      <w:bookmarkEnd w:id="139"/>
      <w:bookmarkEnd w:id="140"/>
      <w:bookmarkEnd w:id="141"/>
      <w:bookmarkEnd w:id="177"/>
      <w:bookmarkEnd w:id="178"/>
      <w:r>
        <w:rPr>
          <w:rFonts w:ascii="仿宋" w:hAnsi="仿宋" w:eastAsia="仿宋" w:cs="仿宋"/>
          <w:szCs w:val="32"/>
        </w:rPr>
        <w:t xml:space="preserve"> </w:t>
      </w:r>
    </w:p>
    <w:p>
      <w:pPr>
        <w:pStyle w:val="9"/>
        <w:ind w:firstLine="640"/>
        <w:rPr>
          <w:rFonts w:ascii="仿宋" w:hAnsi="仿宋" w:eastAsia="仿宋" w:cs="仿宋"/>
        </w:rPr>
      </w:pPr>
      <w:bookmarkStart w:id="179" w:name="_Toc28164"/>
      <w:bookmarkStart w:id="180" w:name="_Toc30931"/>
      <w:bookmarkStart w:id="181" w:name="_Toc18342"/>
      <w:bookmarkStart w:id="182" w:name="_Toc16847"/>
      <w:bookmarkStart w:id="183" w:name="_Toc2593"/>
      <w:bookmarkStart w:id="184" w:name="_Toc23080"/>
      <w:r>
        <w:rPr>
          <w:rFonts w:hint="eastAsia" w:ascii="仿宋" w:hAnsi="仿宋" w:eastAsia="仿宋" w:cs="仿宋"/>
        </w:rPr>
        <w:t>8.</w:t>
      </w:r>
      <w:r>
        <w:rPr>
          <w:rFonts w:hint="eastAsia" w:ascii="仿宋" w:hAnsi="仿宋" w:eastAsia="仿宋" w:cs="仿宋"/>
          <w:lang w:val="en-US" w:eastAsia="zh-CN"/>
        </w:rPr>
        <w:t xml:space="preserve">1 </w:t>
      </w:r>
      <w:r>
        <w:rPr>
          <w:rFonts w:hint="eastAsia" w:ascii="仿宋" w:hAnsi="仿宋" w:eastAsia="仿宋" w:cs="仿宋"/>
        </w:rPr>
        <w:t>火灾评估</w:t>
      </w:r>
      <w:bookmarkEnd w:id="179"/>
      <w:bookmarkEnd w:id="180"/>
      <w:bookmarkEnd w:id="181"/>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区政府组织有关部门对森林草原火灾发生原因、肇事者及受害森林草原面积和蓄积、人员伤亡、其他经济损失等情况进行调查和评估。必要时，区森林草原防灭火指挥机构可发督办函督导落实或者提级开展调查和评估。 </w:t>
      </w:r>
    </w:p>
    <w:p>
      <w:pPr>
        <w:pStyle w:val="9"/>
        <w:ind w:firstLine="640"/>
        <w:rPr>
          <w:rFonts w:ascii="仿宋" w:hAnsi="仿宋" w:eastAsia="仿宋" w:cs="仿宋"/>
        </w:rPr>
      </w:pPr>
      <w:bookmarkStart w:id="185" w:name="_Toc32051"/>
      <w:bookmarkStart w:id="186" w:name="_Toc24060"/>
      <w:bookmarkStart w:id="187" w:name="_Toc16693"/>
      <w:bookmarkStart w:id="188" w:name="_Toc12374"/>
      <w:bookmarkStart w:id="189" w:name="_Toc351"/>
      <w:r>
        <w:rPr>
          <w:rFonts w:hint="eastAsia" w:ascii="仿宋" w:hAnsi="仿宋" w:eastAsia="仿宋" w:cs="仿宋"/>
        </w:rPr>
        <w:t>8.</w:t>
      </w:r>
      <w:r>
        <w:rPr>
          <w:rFonts w:hint="eastAsia" w:ascii="仿宋" w:hAnsi="仿宋" w:eastAsia="仿宋" w:cs="仿宋"/>
          <w:lang w:val="en-US" w:eastAsia="zh-CN"/>
        </w:rPr>
        <w:t>2</w:t>
      </w:r>
      <w:r>
        <w:rPr>
          <w:rFonts w:hint="eastAsia" w:ascii="仿宋" w:hAnsi="仿宋" w:eastAsia="仿宋" w:cs="仿宋"/>
        </w:rPr>
        <w:t xml:space="preserve"> 火因火案查处</w:t>
      </w:r>
      <w:bookmarkEnd w:id="185"/>
      <w:bookmarkEnd w:id="186"/>
      <w:bookmarkEnd w:id="187"/>
      <w:bookmarkEnd w:id="188"/>
      <w:bookmarkEnd w:id="189"/>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区政府组织有关部门对森林草原火灾发生原因及时取证、深入调查，依法查处涉火案件，打击涉火违法犯罪行为，严惩火灾肇事者。</w:t>
      </w:r>
    </w:p>
    <w:bookmarkEnd w:id="182"/>
    <w:bookmarkEnd w:id="183"/>
    <w:bookmarkEnd w:id="184"/>
    <w:p>
      <w:pPr>
        <w:pStyle w:val="9"/>
        <w:ind w:firstLine="640"/>
        <w:rPr>
          <w:rFonts w:ascii="仿宋" w:hAnsi="仿宋" w:eastAsia="仿宋" w:cs="仿宋"/>
        </w:rPr>
      </w:pPr>
      <w:bookmarkStart w:id="190" w:name="_Toc16559"/>
      <w:bookmarkStart w:id="191" w:name="_Toc32430"/>
      <w:bookmarkStart w:id="192" w:name="_Toc30563"/>
      <w:bookmarkStart w:id="193" w:name="_Toc16910"/>
      <w:bookmarkStart w:id="194" w:name="_Toc3858"/>
      <w:r>
        <w:rPr>
          <w:rFonts w:hint="eastAsia" w:ascii="仿宋" w:hAnsi="仿宋" w:eastAsia="仿宋" w:cs="仿宋"/>
        </w:rPr>
        <w:t>8.</w:t>
      </w:r>
      <w:r>
        <w:rPr>
          <w:rFonts w:hint="eastAsia" w:ascii="仿宋" w:hAnsi="仿宋" w:eastAsia="仿宋" w:cs="仿宋"/>
          <w:lang w:val="en-US" w:eastAsia="zh-CN"/>
        </w:rPr>
        <w:t>3</w:t>
      </w:r>
      <w:r>
        <w:rPr>
          <w:rFonts w:hint="eastAsia" w:ascii="仿宋" w:hAnsi="仿宋" w:eastAsia="仿宋" w:cs="仿宋"/>
        </w:rPr>
        <w:t xml:space="preserve"> 约谈整改</w:t>
      </w:r>
      <w:bookmarkEnd w:id="190"/>
      <w:bookmarkEnd w:id="191"/>
      <w:bookmarkEnd w:id="192"/>
      <w:bookmarkEnd w:id="193"/>
      <w:bookmarkEnd w:id="194"/>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对森林草原防灭火工作不力导致人为火灾多发频发的地区，区政府及其有关部门应及时约谈相关镇政府、街道办事处及其有关部门主要负责人，要求其采取措施及时整改。必要时，区森防指及其成员单位按任务分工直接组织约谈。 </w:t>
      </w:r>
    </w:p>
    <w:p>
      <w:pPr>
        <w:pStyle w:val="9"/>
        <w:ind w:firstLine="640"/>
        <w:rPr>
          <w:rFonts w:ascii="仿宋" w:hAnsi="仿宋" w:eastAsia="仿宋" w:cs="仿宋"/>
        </w:rPr>
      </w:pPr>
      <w:bookmarkStart w:id="195" w:name="_Toc32078"/>
      <w:bookmarkStart w:id="196" w:name="_Toc26660"/>
      <w:bookmarkStart w:id="197" w:name="_Toc28493"/>
      <w:bookmarkStart w:id="198" w:name="_Toc27619"/>
      <w:bookmarkStart w:id="199" w:name="_Toc94"/>
      <w:r>
        <w:rPr>
          <w:rFonts w:hint="eastAsia" w:ascii="仿宋" w:hAnsi="仿宋" w:eastAsia="仿宋" w:cs="仿宋"/>
        </w:rPr>
        <w:t>8.</w:t>
      </w:r>
      <w:r>
        <w:rPr>
          <w:rFonts w:hint="eastAsia" w:ascii="仿宋" w:hAnsi="仿宋" w:eastAsia="仿宋" w:cs="仿宋"/>
          <w:lang w:val="en-US" w:eastAsia="zh-CN"/>
        </w:rPr>
        <w:t>4</w:t>
      </w:r>
      <w:r>
        <w:rPr>
          <w:rFonts w:hint="eastAsia" w:ascii="仿宋" w:hAnsi="仿宋" w:eastAsia="仿宋" w:cs="仿宋"/>
        </w:rPr>
        <w:t xml:space="preserve"> 责任追究</w:t>
      </w:r>
      <w:bookmarkEnd w:id="195"/>
      <w:bookmarkEnd w:id="196"/>
      <w:bookmarkEnd w:id="197"/>
      <w:bookmarkEnd w:id="198"/>
      <w:bookmarkEnd w:id="199"/>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为严明工作纪律，切实压实压紧各级各方面责任，对森林草原火灾预防和扑救工作中责任不落实、发现隐患不作为、发生火灾隐瞒不报、处置不得力等失职渎职行为，依据有关法律法规追究属地责任、部门监管责任、经营主体责任、火源管理责任和组织扑救责任。有关责任追究按照《中华人民共和国监察法》等法律法规规定的权限、程序实施。 </w:t>
      </w:r>
    </w:p>
    <w:p>
      <w:pPr>
        <w:pStyle w:val="9"/>
        <w:ind w:firstLine="640"/>
        <w:rPr>
          <w:rFonts w:ascii="仿宋" w:hAnsi="仿宋" w:eastAsia="仿宋" w:cs="仿宋"/>
        </w:rPr>
      </w:pPr>
      <w:bookmarkStart w:id="200" w:name="_Toc27632"/>
      <w:bookmarkStart w:id="201" w:name="_Toc19325"/>
      <w:bookmarkStart w:id="202" w:name="_Toc29301"/>
      <w:bookmarkStart w:id="203" w:name="_Toc31286"/>
      <w:bookmarkStart w:id="204" w:name="_Toc284"/>
      <w:r>
        <w:rPr>
          <w:rFonts w:hint="eastAsia" w:ascii="仿宋" w:hAnsi="仿宋" w:eastAsia="仿宋" w:cs="仿宋"/>
        </w:rPr>
        <w:t>8.</w:t>
      </w:r>
      <w:r>
        <w:rPr>
          <w:rFonts w:hint="eastAsia" w:ascii="仿宋" w:hAnsi="仿宋" w:eastAsia="仿宋" w:cs="仿宋"/>
          <w:lang w:val="en-US" w:eastAsia="zh-CN"/>
        </w:rPr>
        <w:t>5</w:t>
      </w:r>
      <w:r>
        <w:rPr>
          <w:rFonts w:hint="eastAsia" w:ascii="仿宋" w:hAnsi="仿宋" w:eastAsia="仿宋" w:cs="仿宋"/>
        </w:rPr>
        <w:t xml:space="preserve"> 工作总结</w:t>
      </w:r>
      <w:bookmarkEnd w:id="200"/>
      <w:bookmarkEnd w:id="201"/>
      <w:bookmarkEnd w:id="202"/>
      <w:bookmarkEnd w:id="203"/>
      <w:bookmarkEnd w:id="204"/>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区森林草原防灭火指挥机构及时总结、分析火灾发生的原因和应吸取的经验教训，提出改进措施。区委、政府领导同志、市党委、政府领导同志有重要指示批示的森林草原火灾和特别重大森林草原火灾，以及引起社会广泛关注和产生严重影响的重大森林草原火灾，火灾扑救工作结束后，区森防指向市森林草原防灭火指挥部报送火灾扑救工作总结。 </w:t>
      </w:r>
    </w:p>
    <w:p>
      <w:pPr>
        <w:pStyle w:val="9"/>
        <w:ind w:firstLine="640"/>
        <w:rPr>
          <w:rFonts w:ascii="仿宋" w:hAnsi="仿宋" w:eastAsia="仿宋" w:cs="仿宋"/>
        </w:rPr>
      </w:pPr>
      <w:bookmarkStart w:id="205" w:name="_Toc2455"/>
      <w:bookmarkStart w:id="206" w:name="_Toc16756"/>
      <w:bookmarkStart w:id="207" w:name="_Toc16075"/>
      <w:bookmarkStart w:id="208" w:name="_Toc16893"/>
      <w:bookmarkStart w:id="209" w:name="_Toc30009"/>
      <w:r>
        <w:rPr>
          <w:rFonts w:hint="eastAsia" w:ascii="仿宋" w:hAnsi="仿宋" w:eastAsia="仿宋" w:cs="仿宋"/>
        </w:rPr>
        <w:t>8.</w:t>
      </w:r>
      <w:r>
        <w:rPr>
          <w:rFonts w:hint="eastAsia" w:ascii="仿宋" w:hAnsi="仿宋" w:eastAsia="仿宋" w:cs="仿宋"/>
          <w:lang w:val="en-US" w:eastAsia="zh-CN"/>
        </w:rPr>
        <w:t>6</w:t>
      </w:r>
      <w:r>
        <w:rPr>
          <w:rFonts w:hint="eastAsia" w:ascii="仿宋" w:hAnsi="仿宋" w:eastAsia="仿宋" w:cs="仿宋"/>
        </w:rPr>
        <w:t xml:space="preserve"> 表彰奖励</w:t>
      </w:r>
      <w:bookmarkEnd w:id="205"/>
      <w:bookmarkEnd w:id="206"/>
      <w:bookmarkEnd w:id="207"/>
      <w:bookmarkEnd w:id="208"/>
      <w:bookmarkEnd w:id="209"/>
      <w:r>
        <w:rPr>
          <w:rFonts w:hint="eastAsia" w:ascii="仿宋" w:hAnsi="仿宋" w:eastAsia="仿宋" w:cs="仿宋"/>
        </w:rPr>
        <w:t xml:space="preserve"> </w:t>
      </w:r>
    </w:p>
    <w:p>
      <w:pPr>
        <w:ind w:firstLine="640"/>
        <w:rPr>
          <w:rFonts w:ascii="仿宋" w:hAnsi="仿宋" w:eastAsia="仿宋" w:cs="仿宋"/>
          <w:szCs w:val="32"/>
        </w:rPr>
      </w:pPr>
      <w:r>
        <w:rPr>
          <w:rFonts w:hint="eastAsia" w:ascii="仿宋" w:hAnsi="仿宋" w:eastAsia="仿宋" w:cs="仿宋"/>
          <w:szCs w:val="32"/>
        </w:rPr>
        <w:t xml:space="preserve">根据有关规定，对在扑火工作中贡献突出的单位、个人给予表彰奖励；对扑火工作中牺牲人员符合评定烈士条件的，按有关规定办理。 </w:t>
      </w:r>
    </w:p>
    <w:p>
      <w:pPr>
        <w:pStyle w:val="8"/>
        <w:ind w:firstLine="643"/>
        <w:rPr>
          <w:rFonts w:hint="default" w:ascii="仿宋" w:hAnsi="仿宋" w:eastAsia="仿宋" w:cs="仿宋"/>
          <w:szCs w:val="32"/>
        </w:rPr>
      </w:pPr>
      <w:bookmarkStart w:id="210" w:name="_Toc5232"/>
      <w:bookmarkStart w:id="211" w:name="_Toc21735"/>
      <w:r>
        <w:rPr>
          <w:rFonts w:ascii="仿宋" w:hAnsi="仿宋" w:eastAsia="仿宋" w:cs="仿宋"/>
          <w:szCs w:val="32"/>
        </w:rPr>
        <w:t>9 附则</w:t>
      </w:r>
      <w:bookmarkEnd w:id="210"/>
      <w:bookmarkEnd w:id="211"/>
    </w:p>
    <w:p>
      <w:pPr>
        <w:pStyle w:val="9"/>
        <w:ind w:firstLine="640"/>
        <w:rPr>
          <w:rFonts w:ascii="仿宋" w:hAnsi="仿宋" w:eastAsia="仿宋" w:cs="仿宋"/>
        </w:rPr>
      </w:pPr>
      <w:bookmarkStart w:id="212" w:name="_Toc28194"/>
      <w:bookmarkStart w:id="213" w:name="_Toc25028"/>
      <w:bookmarkStart w:id="214" w:name="_Toc16882"/>
      <w:bookmarkStart w:id="215" w:name="_Toc12137"/>
      <w:bookmarkStart w:id="216" w:name="_Toc14445"/>
      <w:r>
        <w:rPr>
          <w:rFonts w:hint="eastAsia" w:ascii="仿宋" w:hAnsi="仿宋" w:eastAsia="仿宋" w:cs="仿宋"/>
        </w:rPr>
        <w:t>9.1 预案演练</w:t>
      </w:r>
      <w:bookmarkEnd w:id="212"/>
      <w:bookmarkEnd w:id="213"/>
      <w:bookmarkEnd w:id="214"/>
      <w:bookmarkEnd w:id="215"/>
      <w:bookmarkEnd w:id="216"/>
    </w:p>
    <w:p>
      <w:pPr>
        <w:ind w:firstLine="640"/>
        <w:rPr>
          <w:rFonts w:ascii="仿宋" w:hAnsi="仿宋" w:eastAsia="仿宋" w:cs="仿宋"/>
          <w:szCs w:val="32"/>
        </w:rPr>
      </w:pPr>
      <w:r>
        <w:rPr>
          <w:rFonts w:hint="eastAsia" w:ascii="仿宋" w:hAnsi="仿宋" w:eastAsia="仿宋" w:cs="仿宋"/>
          <w:szCs w:val="32"/>
        </w:rPr>
        <w:t>区森林草原防灭火指挥部办公室每年在进入森林防火期之前要组织全体防火人员、基层护林人员认真进行1至2次扑火预案演练，计划要详细、演练要认真，确保达到预期实防效果。</w:t>
      </w:r>
    </w:p>
    <w:p>
      <w:pPr>
        <w:pStyle w:val="9"/>
        <w:ind w:firstLine="640"/>
        <w:rPr>
          <w:rFonts w:ascii="仿宋" w:hAnsi="仿宋" w:eastAsia="仿宋" w:cs="仿宋"/>
        </w:rPr>
      </w:pPr>
      <w:bookmarkStart w:id="217" w:name="_Toc7830"/>
      <w:bookmarkStart w:id="218" w:name="_Toc25799"/>
      <w:bookmarkStart w:id="219" w:name="_Toc14552"/>
      <w:bookmarkStart w:id="220" w:name="_Toc5816"/>
      <w:bookmarkStart w:id="221" w:name="_Toc17997"/>
      <w:r>
        <w:rPr>
          <w:rFonts w:hint="eastAsia" w:ascii="仿宋" w:hAnsi="仿宋" w:eastAsia="仿宋" w:cs="仿宋"/>
        </w:rPr>
        <w:t>9.2 宣传与培训</w:t>
      </w:r>
      <w:bookmarkEnd w:id="217"/>
      <w:bookmarkEnd w:id="218"/>
      <w:bookmarkEnd w:id="219"/>
      <w:bookmarkEnd w:id="220"/>
      <w:bookmarkEnd w:id="221"/>
    </w:p>
    <w:p>
      <w:pPr>
        <w:ind w:firstLine="640"/>
        <w:rPr>
          <w:rFonts w:ascii="仿宋" w:hAnsi="仿宋" w:eastAsia="仿宋" w:cs="仿宋"/>
          <w:szCs w:val="32"/>
        </w:rPr>
      </w:pPr>
      <w:r>
        <w:rPr>
          <w:rFonts w:hint="eastAsia" w:ascii="仿宋" w:hAnsi="仿宋" w:eastAsia="仿宋" w:cs="仿宋"/>
          <w:szCs w:val="32"/>
        </w:rPr>
        <w:t>森林火灾应急领导小组要重点面向林区周围的村社群众、中小学生、痴呆精神病人家属及进行林区活动的其他各类人员，采取发放宣传材料、张贴通告、悬挂横幅、制作标牌、出动防火宣传车、广播、电视、报纸宣传等多种形式，大力宣传《森林法》、《森林防火条例》等法规条例及保护森林资源的重要性和森林火灾的危害性。同时，要定期开展对防火扑火人员的技能培训，特别要重点讲解火灾的扑救方法和自身安全常识。</w:t>
      </w:r>
    </w:p>
    <w:p>
      <w:pPr>
        <w:pStyle w:val="9"/>
        <w:ind w:firstLine="640"/>
        <w:rPr>
          <w:rFonts w:ascii="仿宋" w:hAnsi="仿宋" w:eastAsia="仿宋" w:cs="仿宋"/>
        </w:rPr>
      </w:pPr>
      <w:bookmarkStart w:id="222" w:name="_Toc27026"/>
      <w:bookmarkStart w:id="223" w:name="_Toc30780"/>
      <w:bookmarkStart w:id="224" w:name="_Toc4481"/>
      <w:bookmarkStart w:id="225" w:name="_Toc12786"/>
      <w:bookmarkStart w:id="226" w:name="_Toc17690"/>
      <w:bookmarkStart w:id="227" w:name="_Toc15707"/>
      <w:bookmarkStart w:id="228" w:name="_Toc10297"/>
      <w:r>
        <w:rPr>
          <w:rFonts w:hint="eastAsia" w:ascii="仿宋" w:hAnsi="仿宋" w:eastAsia="仿宋" w:cs="仿宋"/>
        </w:rPr>
        <w:t>9.3预案管理</w:t>
      </w:r>
      <w:bookmarkEnd w:id="222"/>
      <w:bookmarkEnd w:id="223"/>
      <w:bookmarkEnd w:id="224"/>
      <w:bookmarkEnd w:id="225"/>
      <w:bookmarkEnd w:id="226"/>
      <w:bookmarkEnd w:id="227"/>
      <w:bookmarkEnd w:id="228"/>
    </w:p>
    <w:p>
      <w:pPr>
        <w:ind w:firstLine="640"/>
        <w:rPr>
          <w:rFonts w:ascii="仿宋" w:hAnsi="仿宋" w:eastAsia="仿宋" w:cs="仿宋"/>
          <w:szCs w:val="32"/>
        </w:rPr>
      </w:pPr>
      <w:r>
        <w:rPr>
          <w:rFonts w:hint="eastAsia" w:ascii="仿宋" w:hAnsi="仿宋" w:eastAsia="仿宋" w:cs="仿宋"/>
          <w:szCs w:val="32"/>
        </w:rPr>
        <w:t>本预案由玉泉区应急管理局制定，报区委、区政府批准后实施。预案实施后，区应急管理局应当适时召集有关部门和专家进行评估，并视情况变化作出相应修改后报区委、区政府审批。辖区各镇政府、街道办事处应当根据本预案修订本地区自然灾害救助应急预案。有关部门和单位要制定落实本预案任务工作手册、行动方案等，确保责任落实到位。</w:t>
      </w:r>
    </w:p>
    <w:p>
      <w:pPr>
        <w:pStyle w:val="9"/>
        <w:ind w:firstLine="640"/>
        <w:rPr>
          <w:rFonts w:ascii="仿宋" w:hAnsi="仿宋" w:eastAsia="仿宋" w:cs="仿宋"/>
        </w:rPr>
      </w:pPr>
      <w:bookmarkStart w:id="229" w:name="_Toc1365"/>
      <w:bookmarkStart w:id="230" w:name="_Toc16125"/>
      <w:bookmarkStart w:id="231" w:name="_Toc13468"/>
      <w:bookmarkStart w:id="232" w:name="_Toc3044"/>
      <w:bookmarkStart w:id="233" w:name="_Toc13430"/>
      <w:bookmarkStart w:id="234" w:name="_Toc31130"/>
      <w:bookmarkStart w:id="235" w:name="_Toc13418"/>
      <w:r>
        <w:rPr>
          <w:rFonts w:hint="eastAsia" w:ascii="仿宋" w:hAnsi="仿宋" w:eastAsia="仿宋" w:cs="仿宋"/>
        </w:rPr>
        <w:t>9.</w:t>
      </w:r>
      <w:bookmarkEnd w:id="229"/>
      <w:bookmarkEnd w:id="230"/>
      <w:r>
        <w:rPr>
          <w:rFonts w:hint="eastAsia" w:ascii="仿宋" w:hAnsi="仿宋" w:eastAsia="仿宋" w:cs="仿宋"/>
        </w:rPr>
        <w:t>4责任与奖惩</w:t>
      </w:r>
      <w:bookmarkEnd w:id="231"/>
      <w:bookmarkEnd w:id="232"/>
      <w:bookmarkEnd w:id="233"/>
      <w:bookmarkEnd w:id="234"/>
      <w:bookmarkEnd w:id="235"/>
    </w:p>
    <w:p>
      <w:pPr>
        <w:ind w:firstLine="640"/>
        <w:rPr>
          <w:rFonts w:ascii="仿宋" w:hAnsi="仿宋" w:eastAsia="仿宋" w:cs="仿宋"/>
          <w:szCs w:val="32"/>
        </w:rPr>
      </w:pPr>
      <w:r>
        <w:rPr>
          <w:rFonts w:hint="eastAsia" w:ascii="仿宋" w:hAnsi="仿宋" w:eastAsia="仿宋" w:cs="仿宋"/>
          <w:szCs w:val="32"/>
        </w:rPr>
        <w:t>森林火灾应急处置工作实行行政领导负责制和责任追究制。区森林草原防灭火指挥部对扑火工作中做出突出贡献的先进集体和个人要给予表彰奖励；对引起森林火灾者和迟报、谎报、瞒报、漏报森林火灾或在扑火工作中有失职、渎职行</w:t>
      </w:r>
      <w:r>
        <w:rPr>
          <w:rFonts w:hint="eastAsia" w:ascii="仿宋" w:hAnsi="仿宋" w:eastAsia="仿宋" w:cs="仿宋"/>
          <w:sz w:val="30"/>
          <w:szCs w:val="30"/>
        </w:rPr>
        <w:t>为的人员，要严肃追究其责任，涉嫌</w:t>
      </w:r>
      <w:r>
        <w:rPr>
          <w:rFonts w:hint="eastAsia" w:ascii="仿宋" w:hAnsi="仿宋" w:eastAsia="仿宋" w:cs="仿宋"/>
          <w:szCs w:val="32"/>
        </w:rPr>
        <w:t>犯罪的，要及时移送司法部门依法追究其法律责任，从严、从快、从重处理。</w:t>
      </w:r>
    </w:p>
    <w:p>
      <w:pPr>
        <w:pStyle w:val="9"/>
        <w:ind w:firstLine="640"/>
        <w:rPr>
          <w:rFonts w:ascii="仿宋" w:hAnsi="仿宋" w:eastAsia="仿宋" w:cs="仿宋"/>
        </w:rPr>
      </w:pPr>
      <w:bookmarkStart w:id="236" w:name="_Toc20830"/>
      <w:bookmarkStart w:id="237" w:name="_Toc13969"/>
      <w:bookmarkStart w:id="238" w:name="_Toc27933"/>
      <w:bookmarkStart w:id="239" w:name="_Toc12018"/>
      <w:bookmarkStart w:id="240" w:name="_Toc6417"/>
      <w:bookmarkStart w:id="241" w:name="_Toc27812"/>
      <w:bookmarkStart w:id="242" w:name="_Toc27973"/>
      <w:bookmarkStart w:id="243" w:name="_Toc25774"/>
      <w:bookmarkStart w:id="244" w:name="_Toc1528"/>
      <w:r>
        <w:rPr>
          <w:rFonts w:hint="eastAsia" w:ascii="仿宋" w:hAnsi="仿宋" w:eastAsia="仿宋" w:cs="仿宋"/>
        </w:rPr>
        <w:t>9.5预案解释</w:t>
      </w:r>
      <w:bookmarkEnd w:id="236"/>
      <w:bookmarkEnd w:id="237"/>
      <w:bookmarkEnd w:id="238"/>
      <w:bookmarkEnd w:id="239"/>
      <w:bookmarkEnd w:id="240"/>
      <w:bookmarkEnd w:id="241"/>
      <w:bookmarkEnd w:id="242"/>
      <w:bookmarkEnd w:id="243"/>
      <w:bookmarkEnd w:id="244"/>
    </w:p>
    <w:p>
      <w:pPr>
        <w:ind w:firstLine="640"/>
        <w:rPr>
          <w:rFonts w:ascii="仿宋" w:hAnsi="仿宋" w:eastAsia="仿宋" w:cs="仿宋"/>
          <w:szCs w:val="32"/>
        </w:rPr>
      </w:pPr>
      <w:r>
        <w:rPr>
          <w:rFonts w:hint="eastAsia" w:ascii="仿宋" w:hAnsi="仿宋" w:eastAsia="仿宋" w:cs="仿宋"/>
          <w:szCs w:val="32"/>
        </w:rPr>
        <w:t>本预案由区政府应急</w:t>
      </w:r>
      <w:r>
        <w:rPr>
          <w:rFonts w:hint="eastAsia" w:ascii="仿宋" w:hAnsi="仿宋" w:eastAsia="仿宋" w:cs="仿宋"/>
          <w:szCs w:val="32"/>
          <w:lang w:val="zh-CN"/>
        </w:rPr>
        <w:t>办公室</w:t>
      </w:r>
      <w:r>
        <w:rPr>
          <w:rFonts w:hint="eastAsia" w:ascii="仿宋" w:hAnsi="仿宋" w:eastAsia="仿宋" w:cs="仿宋"/>
          <w:szCs w:val="32"/>
        </w:rPr>
        <w:t>负责解释。</w:t>
      </w:r>
    </w:p>
    <w:p>
      <w:pPr>
        <w:pStyle w:val="9"/>
        <w:ind w:firstLine="640"/>
        <w:rPr>
          <w:rFonts w:ascii="仿宋" w:hAnsi="仿宋" w:eastAsia="仿宋" w:cs="仿宋"/>
        </w:rPr>
      </w:pPr>
      <w:bookmarkStart w:id="245" w:name="_Toc20240"/>
      <w:bookmarkStart w:id="246" w:name="_Toc30200"/>
      <w:bookmarkStart w:id="247" w:name="_Toc27145"/>
      <w:bookmarkStart w:id="248" w:name="_Toc2405"/>
      <w:bookmarkStart w:id="249" w:name="_Toc17517"/>
      <w:bookmarkStart w:id="250" w:name="_Toc8971"/>
      <w:bookmarkStart w:id="251" w:name="_Toc21256"/>
      <w:bookmarkStart w:id="252" w:name="_Toc20920"/>
      <w:bookmarkStart w:id="253" w:name="_Toc30276"/>
      <w:r>
        <w:rPr>
          <w:rFonts w:hint="eastAsia" w:ascii="仿宋" w:hAnsi="仿宋" w:eastAsia="仿宋" w:cs="仿宋"/>
        </w:rPr>
        <w:t>9.6预案实施时间</w:t>
      </w:r>
      <w:bookmarkEnd w:id="245"/>
      <w:bookmarkEnd w:id="246"/>
      <w:bookmarkEnd w:id="247"/>
      <w:bookmarkEnd w:id="248"/>
      <w:bookmarkEnd w:id="249"/>
      <w:bookmarkEnd w:id="250"/>
      <w:bookmarkEnd w:id="251"/>
      <w:bookmarkEnd w:id="252"/>
      <w:bookmarkEnd w:id="253"/>
    </w:p>
    <w:p>
      <w:pPr>
        <w:ind w:firstLine="640"/>
        <w:rPr>
          <w:rFonts w:ascii="仿宋" w:hAnsi="仿宋" w:eastAsia="仿宋" w:cs="仿宋"/>
          <w:szCs w:val="32"/>
        </w:rPr>
      </w:pPr>
      <w:r>
        <w:rPr>
          <w:rFonts w:hint="eastAsia" w:ascii="仿宋" w:hAnsi="仿宋" w:eastAsia="仿宋" w:cs="仿宋"/>
          <w:szCs w:val="32"/>
        </w:rPr>
        <w:t>本预案自发布之日起施行。</w:t>
      </w:r>
    </w:p>
    <w:p>
      <w:pPr>
        <w:pStyle w:val="9"/>
        <w:ind w:firstLine="640"/>
        <w:rPr>
          <w:rFonts w:ascii="仿宋" w:hAnsi="仿宋" w:eastAsia="仿宋" w:cs="仿宋"/>
        </w:rPr>
      </w:pPr>
      <w:bookmarkStart w:id="254" w:name="_Toc14245"/>
      <w:bookmarkStart w:id="255" w:name="_Toc10341"/>
      <w:bookmarkStart w:id="256" w:name="_Toc4428"/>
      <w:bookmarkStart w:id="257" w:name="_Toc12836"/>
      <w:bookmarkStart w:id="258" w:name="_Toc22282"/>
      <w:bookmarkStart w:id="259" w:name="_Toc12931"/>
      <w:bookmarkStart w:id="260" w:name="_Toc6383"/>
      <w:bookmarkStart w:id="261" w:name="_Toc24335"/>
      <w:bookmarkStart w:id="262" w:name="_Toc10359"/>
      <w:bookmarkStart w:id="263" w:name="_Toc23562"/>
      <w:r>
        <w:rPr>
          <w:rFonts w:hint="eastAsia" w:ascii="仿宋" w:hAnsi="仿宋" w:eastAsia="仿宋" w:cs="仿宋"/>
        </w:rPr>
        <w:t>9.7 附</w:t>
      </w:r>
      <w:bookmarkEnd w:id="254"/>
      <w:bookmarkEnd w:id="255"/>
      <w:bookmarkEnd w:id="256"/>
      <w:bookmarkEnd w:id="257"/>
      <w:bookmarkEnd w:id="258"/>
      <w:bookmarkEnd w:id="259"/>
      <w:bookmarkEnd w:id="260"/>
      <w:bookmarkEnd w:id="261"/>
      <w:r>
        <w:rPr>
          <w:rFonts w:hint="eastAsia" w:ascii="仿宋" w:hAnsi="仿宋" w:eastAsia="仿宋" w:cs="仿宋"/>
        </w:rPr>
        <w:t>件</w:t>
      </w:r>
      <w:bookmarkEnd w:id="262"/>
      <w:bookmarkEnd w:id="263"/>
    </w:p>
    <w:p>
      <w:pPr>
        <w:ind w:firstLine="640"/>
        <w:rPr>
          <w:rFonts w:ascii="仿宋" w:hAnsi="仿宋" w:eastAsia="仿宋" w:cs="仿宋"/>
          <w:szCs w:val="32"/>
        </w:rPr>
      </w:pPr>
      <w:bookmarkStart w:id="264" w:name="_Toc29974"/>
      <w:bookmarkStart w:id="265" w:name="_Toc11696"/>
      <w:bookmarkStart w:id="266" w:name="_Toc25600"/>
      <w:r>
        <w:rPr>
          <w:rFonts w:hint="eastAsia" w:ascii="仿宋" w:hAnsi="仿宋" w:eastAsia="仿宋" w:cs="仿宋"/>
          <w:szCs w:val="32"/>
        </w:rPr>
        <w:t>附件1：</w:t>
      </w:r>
      <w:bookmarkEnd w:id="264"/>
      <w:r>
        <w:rPr>
          <w:rFonts w:hint="eastAsia" w:ascii="仿宋" w:hAnsi="仿宋" w:eastAsia="仿宋" w:cs="仿宋"/>
          <w:szCs w:val="32"/>
        </w:rPr>
        <w:t>概况</w:t>
      </w:r>
      <w:bookmarkEnd w:id="265"/>
      <w:bookmarkEnd w:id="266"/>
    </w:p>
    <w:p>
      <w:pPr>
        <w:ind w:firstLine="640"/>
        <w:rPr>
          <w:rFonts w:hint="eastAsia" w:ascii="仿宋" w:hAnsi="仿宋" w:eastAsia="仿宋" w:cs="仿宋"/>
          <w:szCs w:val="32"/>
          <w:lang w:val="en-US" w:eastAsia="zh-CN"/>
        </w:rPr>
      </w:pPr>
      <w:bookmarkStart w:id="267" w:name="_Toc22924"/>
      <w:bookmarkStart w:id="268" w:name="_Toc8558"/>
      <w:bookmarkStart w:id="269" w:name="_Toc17288"/>
      <w:bookmarkStart w:id="270" w:name="_Toc11005"/>
      <w:r>
        <w:rPr>
          <w:rFonts w:hint="eastAsia" w:ascii="仿宋" w:hAnsi="仿宋" w:eastAsia="仿宋" w:cs="仿宋"/>
          <w:szCs w:val="32"/>
        </w:rPr>
        <w:t>附件2：</w:t>
      </w:r>
      <w:r>
        <w:rPr>
          <w:rFonts w:hint="eastAsia" w:ascii="仿宋" w:hAnsi="仿宋" w:eastAsia="仿宋" w:cs="仿宋"/>
          <w:szCs w:val="32"/>
          <w:lang w:val="en-US" w:eastAsia="zh-CN"/>
        </w:rPr>
        <w:t>应急响应流程图</w:t>
      </w:r>
    </w:p>
    <w:p>
      <w:pPr>
        <w:ind w:firstLine="640"/>
        <w:rPr>
          <w:rFonts w:ascii="仿宋" w:hAnsi="仿宋" w:eastAsia="仿宋" w:cs="仿宋"/>
          <w:szCs w:val="32"/>
        </w:rPr>
      </w:pPr>
      <w:r>
        <w:rPr>
          <w:rFonts w:hint="eastAsia" w:ascii="仿宋" w:hAnsi="仿宋" w:eastAsia="仿宋" w:cs="仿宋"/>
          <w:szCs w:val="32"/>
          <w:lang w:val="en-US" w:eastAsia="zh-CN"/>
        </w:rPr>
        <w:t>附件3：</w:t>
      </w:r>
      <w:r>
        <w:rPr>
          <w:rFonts w:hint="eastAsia" w:ascii="仿宋" w:hAnsi="仿宋" w:eastAsia="仿宋" w:cs="仿宋"/>
          <w:szCs w:val="32"/>
        </w:rPr>
        <w:t>森林火灾评估预判</w:t>
      </w:r>
      <w:bookmarkEnd w:id="267"/>
      <w:bookmarkEnd w:id="268"/>
      <w:bookmarkEnd w:id="269"/>
    </w:p>
    <w:p>
      <w:pPr>
        <w:ind w:firstLine="640"/>
        <w:rPr>
          <w:rFonts w:ascii="仿宋" w:hAnsi="仿宋" w:eastAsia="仿宋" w:cs="仿宋"/>
          <w:szCs w:val="32"/>
        </w:rPr>
      </w:pPr>
      <w:bookmarkStart w:id="271" w:name="_Toc1575"/>
      <w:bookmarkStart w:id="272" w:name="_Toc21730"/>
      <w:bookmarkStart w:id="273" w:name="_Toc28072"/>
      <w:r>
        <w:rPr>
          <w:rFonts w:hint="eastAsia" w:ascii="仿宋" w:hAnsi="仿宋" w:eastAsia="仿宋" w:cs="仿宋"/>
          <w:szCs w:val="32"/>
        </w:rPr>
        <w:t>附件</w:t>
      </w:r>
      <w:r>
        <w:rPr>
          <w:rFonts w:hint="eastAsia" w:ascii="仿宋" w:hAnsi="仿宋" w:eastAsia="仿宋" w:cs="仿宋"/>
          <w:szCs w:val="32"/>
          <w:lang w:val="en-US" w:eastAsia="zh-CN"/>
        </w:rPr>
        <w:t>4</w:t>
      </w:r>
      <w:r>
        <w:rPr>
          <w:rFonts w:hint="eastAsia" w:ascii="仿宋" w:hAnsi="仿宋" w:eastAsia="仿宋" w:cs="仿宋"/>
          <w:szCs w:val="32"/>
        </w:rPr>
        <w:t>：</w:t>
      </w:r>
      <w:bookmarkEnd w:id="270"/>
      <w:bookmarkEnd w:id="271"/>
      <w:bookmarkEnd w:id="272"/>
      <w:r>
        <w:rPr>
          <w:rFonts w:hint="eastAsia" w:ascii="仿宋" w:hAnsi="仿宋" w:eastAsia="仿宋" w:cs="仿宋"/>
          <w:szCs w:val="32"/>
        </w:rPr>
        <w:t>玉泉区有关应急部门人员的联系方式</w:t>
      </w:r>
      <w:bookmarkEnd w:id="273"/>
    </w:p>
    <w:p>
      <w:pPr>
        <w:ind w:firstLine="640"/>
        <w:rPr>
          <w:rFonts w:ascii="仿宋" w:hAnsi="仿宋" w:eastAsia="仿宋" w:cs="仿宋"/>
          <w:szCs w:val="32"/>
        </w:rPr>
      </w:pPr>
      <w:bookmarkStart w:id="274" w:name="_Toc17305"/>
      <w:bookmarkStart w:id="275" w:name="_Toc13077"/>
      <w:bookmarkStart w:id="276" w:name="_Toc4653"/>
      <w:bookmarkStart w:id="277" w:name="_Toc3926"/>
      <w:r>
        <w:rPr>
          <w:rFonts w:hint="eastAsia" w:ascii="仿宋" w:hAnsi="仿宋" w:eastAsia="仿宋" w:cs="仿宋"/>
          <w:szCs w:val="32"/>
        </w:rPr>
        <w:t>附件</w:t>
      </w:r>
      <w:r>
        <w:rPr>
          <w:rFonts w:hint="eastAsia" w:ascii="仿宋" w:hAnsi="仿宋" w:eastAsia="仿宋" w:cs="仿宋"/>
          <w:szCs w:val="32"/>
          <w:lang w:val="en-US" w:eastAsia="zh-CN"/>
        </w:rPr>
        <w:t>5</w:t>
      </w:r>
      <w:r>
        <w:rPr>
          <w:rFonts w:hint="eastAsia" w:ascii="仿宋" w:hAnsi="仿宋" w:eastAsia="仿宋" w:cs="仿宋"/>
          <w:szCs w:val="32"/>
        </w:rPr>
        <w:t>：玉泉区</w:t>
      </w:r>
      <w:bookmarkEnd w:id="274"/>
      <w:bookmarkEnd w:id="275"/>
      <w:bookmarkEnd w:id="276"/>
      <w:r>
        <w:rPr>
          <w:rFonts w:hint="eastAsia" w:ascii="仿宋" w:hAnsi="仿宋" w:eastAsia="仿宋" w:cs="仿宋"/>
          <w:szCs w:val="32"/>
        </w:rPr>
        <w:t>有关应急部门的联系方式</w:t>
      </w:r>
      <w:bookmarkEnd w:id="277"/>
    </w:p>
    <w:p>
      <w:pPr>
        <w:ind w:firstLine="640"/>
        <w:rPr>
          <w:rFonts w:hint="eastAsia" w:ascii="仿宋" w:hAnsi="仿宋" w:eastAsia="仿宋" w:cs="仿宋"/>
          <w:szCs w:val="32"/>
          <w:lang w:val="en-US" w:eastAsia="zh-CN"/>
        </w:rPr>
      </w:pPr>
      <w:bookmarkStart w:id="278" w:name="_Toc14486"/>
      <w:bookmarkStart w:id="279" w:name="_Toc2115"/>
      <w:bookmarkStart w:id="280" w:name="_Toc16516"/>
      <w:bookmarkStart w:id="281" w:name="_Toc18169"/>
      <w:r>
        <w:rPr>
          <w:rFonts w:hint="eastAsia" w:ascii="仿宋" w:hAnsi="仿宋" w:eastAsia="仿宋" w:cs="仿宋"/>
          <w:szCs w:val="32"/>
          <w:lang w:val="en-US" w:eastAsia="zh-CN"/>
        </w:rPr>
        <w:t>附件6：玉泉区</w:t>
      </w:r>
      <w:bookmarkEnd w:id="278"/>
      <w:bookmarkEnd w:id="279"/>
      <w:bookmarkEnd w:id="280"/>
      <w:r>
        <w:rPr>
          <w:rFonts w:hint="eastAsia" w:ascii="仿宋" w:hAnsi="仿宋" w:eastAsia="仿宋" w:cs="仿宋"/>
          <w:szCs w:val="32"/>
          <w:lang w:val="en-US" w:eastAsia="zh-CN"/>
        </w:rPr>
        <w:t>应急物资配备表</w:t>
      </w:r>
      <w:bookmarkEnd w:id="281"/>
    </w:p>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附件7：应急队伍情况</w:t>
      </w:r>
    </w:p>
    <w:p>
      <w:pPr>
        <w:ind w:firstLine="640"/>
        <w:rPr>
          <w:rFonts w:hint="default" w:ascii="仿宋" w:hAnsi="仿宋" w:eastAsia="仿宋" w:cs="仿宋"/>
          <w:szCs w:val="32"/>
          <w:lang w:val="en-US" w:eastAsia="zh-CN"/>
        </w:rPr>
      </w:pPr>
      <w:r>
        <w:rPr>
          <w:rFonts w:hint="eastAsia" w:ascii="仿宋" w:hAnsi="仿宋" w:eastAsia="仿宋" w:cs="仿宋"/>
          <w:szCs w:val="32"/>
          <w:lang w:val="en-US" w:eastAsia="zh-CN"/>
        </w:rPr>
        <w:t>附件8：玉泉区林地资源分布图</w:t>
      </w:r>
    </w:p>
    <w:p>
      <w:pPr>
        <w:ind w:firstLine="640"/>
        <w:rPr>
          <w:rFonts w:ascii="仿宋" w:hAnsi="仿宋" w:eastAsia="仿宋" w:cs="仿宋"/>
          <w:szCs w:val="32"/>
        </w:rPr>
      </w:pPr>
      <w:bookmarkStart w:id="282" w:name="_Toc27036"/>
      <w:bookmarkStart w:id="283" w:name="_Toc18505"/>
      <w:bookmarkStart w:id="284" w:name="_Toc7006"/>
      <w:bookmarkStart w:id="285" w:name="_Toc15655"/>
      <w:bookmarkStart w:id="286" w:name="_Toc426382153"/>
      <w:bookmarkStart w:id="287" w:name="_Toc24479"/>
      <w:bookmarkStart w:id="288" w:name="_Toc32150"/>
      <w:bookmarkStart w:id="289" w:name="_Toc42857159"/>
      <w:bookmarkStart w:id="290" w:name="_Toc27745418"/>
      <w:bookmarkStart w:id="291" w:name="_Toc20195"/>
      <w:bookmarkStart w:id="292" w:name="_Toc43812913"/>
      <w:bookmarkStart w:id="293" w:name="_Toc30643"/>
      <w:bookmarkStart w:id="294" w:name="_Toc14523"/>
      <w:bookmarkStart w:id="295" w:name="_Toc15695"/>
    </w:p>
    <w:p>
      <w:pPr>
        <w:pStyle w:val="25"/>
        <w:ind w:firstLine="640"/>
        <w:rPr>
          <w:rFonts w:ascii="仿宋" w:hAnsi="仿宋" w:eastAsia="仿宋" w:cs="仿宋"/>
          <w:sz w:val="32"/>
          <w:szCs w:val="32"/>
          <w:lang w:eastAsia="zh-CN"/>
        </w:rPr>
      </w:pPr>
    </w:p>
    <w:p>
      <w:pPr>
        <w:pStyle w:val="25"/>
        <w:ind w:firstLine="640"/>
        <w:rPr>
          <w:rFonts w:ascii="仿宋" w:hAnsi="仿宋" w:eastAsia="仿宋" w:cs="仿宋"/>
          <w:sz w:val="32"/>
          <w:szCs w:val="32"/>
          <w:lang w:eastAsia="zh-CN"/>
        </w:rPr>
      </w:pPr>
    </w:p>
    <w:p>
      <w:pPr>
        <w:rPr>
          <w:rFonts w:hint="eastAsia" w:ascii="仿宋" w:hAnsi="仿宋" w:eastAsia="仿宋" w:cs="仿宋"/>
        </w:rPr>
      </w:pPr>
      <w:r>
        <w:rPr>
          <w:rFonts w:hint="eastAsia" w:ascii="仿宋" w:hAnsi="仿宋" w:eastAsia="仿宋" w:cs="仿宋"/>
        </w:rPr>
        <w:br w:type="page"/>
      </w:r>
    </w:p>
    <w:p>
      <w:pPr>
        <w:pStyle w:val="9"/>
        <w:ind w:firstLine="0" w:firstLineChars="0"/>
        <w:rPr>
          <w:rFonts w:ascii="仿宋" w:hAnsi="仿宋" w:eastAsia="仿宋" w:cs="仿宋"/>
        </w:rPr>
      </w:pPr>
      <w:bookmarkStart w:id="296" w:name="_Toc11576"/>
      <w:r>
        <w:rPr>
          <w:rFonts w:hint="eastAsia" w:ascii="仿宋" w:hAnsi="仿宋" w:eastAsia="仿宋" w:cs="仿宋"/>
        </w:rPr>
        <w:t>附件1：</w:t>
      </w:r>
      <w:bookmarkEnd w:id="282"/>
      <w:bookmarkEnd w:id="283"/>
      <w:bookmarkEnd w:id="284"/>
      <w:bookmarkEnd w:id="285"/>
      <w:bookmarkEnd w:id="286"/>
      <w:bookmarkEnd w:id="287"/>
      <w:bookmarkEnd w:id="288"/>
      <w:bookmarkEnd w:id="289"/>
      <w:bookmarkEnd w:id="290"/>
      <w:bookmarkEnd w:id="291"/>
      <w:bookmarkEnd w:id="292"/>
      <w:bookmarkEnd w:id="293"/>
      <w:bookmarkStart w:id="297" w:name="_Toc426382154"/>
      <w:bookmarkStart w:id="298" w:name="_Toc27745419"/>
      <w:r>
        <w:rPr>
          <w:rFonts w:hint="eastAsia" w:ascii="仿宋" w:hAnsi="仿宋" w:eastAsia="仿宋" w:cs="仿宋"/>
        </w:rPr>
        <w:t>概况</w:t>
      </w:r>
      <w:bookmarkEnd w:id="294"/>
      <w:bookmarkEnd w:id="295"/>
      <w:bookmarkEnd w:id="296"/>
    </w:p>
    <w:p>
      <w:pPr>
        <w:ind w:firstLine="640"/>
        <w:rPr>
          <w:rFonts w:ascii="仿宋" w:hAnsi="仿宋" w:eastAsia="仿宋" w:cs="仿宋"/>
          <w:szCs w:val="32"/>
        </w:rPr>
      </w:pPr>
      <w:bookmarkStart w:id="299" w:name="_Toc24416"/>
      <w:bookmarkStart w:id="300" w:name="_Toc4992"/>
      <w:bookmarkStart w:id="301" w:name="_Toc7923"/>
      <w:bookmarkStart w:id="302" w:name="_Toc42857160"/>
      <w:bookmarkStart w:id="303" w:name="_Toc2940"/>
      <w:bookmarkStart w:id="304" w:name="_Toc23206"/>
      <w:bookmarkStart w:id="305" w:name="_Toc43812914"/>
      <w:bookmarkStart w:id="306" w:name="_Toc14680"/>
      <w:bookmarkStart w:id="307" w:name="_Toc32322"/>
      <w:r>
        <w:rPr>
          <w:rFonts w:hint="eastAsia" w:ascii="仿宋" w:hAnsi="仿宋" w:eastAsia="仿宋" w:cs="仿宋"/>
          <w:szCs w:val="32"/>
        </w:rPr>
        <w:t>内蒙古呼和浩特市玉泉区位于东经111°67′，北纬40°75′。地处呼和浩特市的中部，市区的西南部。东与赛罕区相邻，南和西与土默特左旗接壤，北与回民区毗连。辖区总面积258平方公里。</w:t>
      </w:r>
    </w:p>
    <w:p>
      <w:pPr>
        <w:ind w:firstLine="640"/>
        <w:rPr>
          <w:rFonts w:ascii="仿宋" w:hAnsi="仿宋" w:eastAsia="仿宋" w:cs="仿宋"/>
          <w:szCs w:val="32"/>
        </w:rPr>
      </w:pPr>
      <w:r>
        <w:rPr>
          <w:rFonts w:hint="eastAsia" w:ascii="仿宋" w:hAnsi="仿宋" w:eastAsia="仿宋" w:cs="仿宋"/>
          <w:szCs w:val="32"/>
        </w:rPr>
        <w:t>玉泉区地处土默川平原，地貌类型较少，北部地质属于洪积与冲积的山前倾斜平原，南部为大黑河冲积平原。总体地势平坦，由东北向西南倾斜，海拔高度北部地区约1050米，西南约1020米，平均海拔高度为1035米。</w:t>
      </w:r>
    </w:p>
    <w:p>
      <w:pPr>
        <w:ind w:firstLine="640"/>
        <w:rPr>
          <w:rFonts w:hint="eastAsia" w:ascii="仿宋" w:hAnsi="仿宋" w:eastAsia="仿宋" w:cs="仿宋"/>
          <w:szCs w:val="32"/>
          <w:lang w:val="en-US" w:eastAsia="zh-CN"/>
        </w:rPr>
      </w:pPr>
      <w:bookmarkStart w:id="308" w:name="_Toc13493"/>
      <w:bookmarkStart w:id="309" w:name="_Toc25829"/>
      <w:r>
        <w:rPr>
          <w:rFonts w:hint="eastAsia" w:ascii="仿宋" w:hAnsi="仿宋" w:eastAsia="仿宋" w:cs="仿宋"/>
          <w:szCs w:val="32"/>
        </w:rPr>
        <w:t>依据玉泉区2020年国土变更调查成果数据，呼和浩特市玉泉区土地面积为19033.97公顷，林地、草地共3744.64公顷，占全区土地面积的19.67%。其中：林地面积为1333.41公顷，占全区土地面积的7%，包括：乔木林地408.22 公顷，灌木林地53.66 公顷，其他林地871.53 公顷；草地面积为2411.23 公顷，占全区土地面积的12.67%。其中均为其他草地,面积为2411.23 公顷。详见</w:t>
      </w:r>
      <w:r>
        <w:rPr>
          <w:rFonts w:hint="eastAsia" w:ascii="仿宋" w:hAnsi="仿宋" w:eastAsia="仿宋" w:cs="仿宋"/>
          <w:szCs w:val="32"/>
          <w:lang w:val="en-US" w:eastAsia="zh-CN"/>
        </w:rPr>
        <w:t>下表：</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page"/>
      </w:r>
    </w:p>
    <w:tbl>
      <w:tblPr>
        <w:tblStyle w:val="20"/>
        <w:tblpPr w:leftFromText="180" w:rightFromText="180" w:vertAnchor="text" w:horzAnchor="page" w:tblpX="1220" w:tblpY="263"/>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960"/>
        <w:gridCol w:w="864"/>
        <w:gridCol w:w="864"/>
        <w:gridCol w:w="816"/>
        <w:gridCol w:w="792"/>
        <w:gridCol w:w="888"/>
        <w:gridCol w:w="324"/>
        <w:gridCol w:w="348"/>
        <w:gridCol w:w="888"/>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0" w:type="dxa"/>
            <w:gridSpan w:val="11"/>
            <w:tcBorders>
              <w:top w:val="nil"/>
              <w:left w:val="nil"/>
              <w:bottom w:val="nil"/>
              <w:right w:val="nil"/>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玉泉区森林草原资源面积统计表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040" w:type="dxa"/>
            <w:tcBorders>
              <w:top w:val="nil"/>
              <w:left w:val="nil"/>
              <w:bottom w:val="nil"/>
              <w:right w:val="nil"/>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p>
        </w:tc>
        <w:tc>
          <w:tcPr>
            <w:tcW w:w="960"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864"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864"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816"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792"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888"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324"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2"/>
                <w:szCs w:val="22"/>
                <w:u w:val="none"/>
              </w:rPr>
            </w:pPr>
          </w:p>
        </w:tc>
        <w:tc>
          <w:tcPr>
            <w:tcW w:w="348" w:type="dxa"/>
            <w:tcBorders>
              <w:top w:val="nil"/>
              <w:left w:val="nil"/>
              <w:bottom w:val="nil"/>
              <w:right w:val="nil"/>
            </w:tcBorders>
            <w:noWrap/>
            <w:vAlign w:val="center"/>
          </w:tcPr>
          <w:p>
            <w:pPr>
              <w:spacing w:line="240" w:lineRule="auto"/>
              <w:ind w:firstLine="0" w:firstLineChars="0"/>
              <w:rPr>
                <w:rFonts w:hint="eastAsia" w:ascii="宋体" w:hAnsi="宋体" w:eastAsia="宋体" w:cs="宋体"/>
                <w:b/>
                <w:bCs/>
                <w:i w:val="0"/>
                <w:iCs w:val="0"/>
                <w:color w:val="000000"/>
                <w:sz w:val="22"/>
                <w:szCs w:val="22"/>
                <w:u w:val="none"/>
              </w:rPr>
            </w:pPr>
          </w:p>
        </w:tc>
        <w:tc>
          <w:tcPr>
            <w:tcW w:w="1884" w:type="dxa"/>
            <w:gridSpan w:val="2"/>
            <w:tcBorders>
              <w:top w:val="nil"/>
              <w:left w:val="nil"/>
              <w:bottom w:val="nil"/>
              <w:right w:val="nil"/>
            </w:tcBorders>
            <w:noWrap/>
            <w:vAlign w:val="center"/>
          </w:tcPr>
          <w:p>
            <w:pPr>
              <w:spacing w:line="240" w:lineRule="auto"/>
              <w:ind w:firstLine="0" w:firstLineChars="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40" w:type="dxa"/>
            <w:vMerge w:val="restart"/>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乡镇</w:t>
            </w:r>
          </w:p>
        </w:tc>
        <w:tc>
          <w:tcPr>
            <w:tcW w:w="960" w:type="dxa"/>
            <w:vMerge w:val="restar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3336" w:type="dxa"/>
            <w:gridSpan w:val="4"/>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林地</w:t>
            </w:r>
          </w:p>
        </w:tc>
        <w:tc>
          <w:tcPr>
            <w:tcW w:w="2448" w:type="dxa"/>
            <w:gridSpan w:val="4"/>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草地</w:t>
            </w:r>
          </w:p>
        </w:tc>
        <w:tc>
          <w:tcPr>
            <w:tcW w:w="996" w:type="dxa"/>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其他土地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40" w:type="dxa"/>
            <w:vMerge w:val="continue"/>
            <w:tcBorders>
              <w:top w:val="single" w:color="000000" w:sz="8" w:space="0"/>
              <w:left w:val="single" w:color="000000" w:sz="8"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乔木林地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灌木林地</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其他林地</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天然牧草地</w:t>
            </w:r>
          </w:p>
        </w:tc>
        <w:tc>
          <w:tcPr>
            <w:tcW w:w="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人工牧草地</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其他草地</w:t>
            </w:r>
          </w:p>
        </w:tc>
        <w:tc>
          <w:tcPr>
            <w:tcW w:w="996" w:type="dxa"/>
            <w:tcBorders>
              <w:top w:val="single" w:color="000000" w:sz="4" w:space="0"/>
              <w:left w:val="single" w:color="000000" w:sz="4" w:space="0"/>
              <w:bottom w:val="single" w:color="000000" w:sz="4" w:space="0"/>
              <w:right w:val="single" w:color="000000" w:sz="8" w:space="0"/>
            </w:tcBorders>
            <w:noWrap/>
            <w:vAlign w:val="center"/>
          </w:tcPr>
          <w:p>
            <w:pPr>
              <w:spacing w:line="240" w:lineRule="auto"/>
              <w:ind w:firstLine="0" w:firstLineChars="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小黑河镇</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11956.90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788.57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253.91 </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50.99 </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483.67 </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1756.91 </w:t>
            </w: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1756.91 </w:t>
            </w: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9411.42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小召前街街道办事处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110.41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兴隆巷街道办事处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193.00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6.06 </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 </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长和廊街道办事处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107.18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石东路街道办事处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168.11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大南街街道办事处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100.07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鄂尔多斯路街道办事处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956.74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132.37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59.51 </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0.62 </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72.24 </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64.02 </w:t>
            </w: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64.02 </w:t>
            </w: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西菜园街道办事处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466.31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 </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14.45 </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 </w:t>
            </w: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21.70 </w:t>
            </w: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昭君路街道办事处</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4464.58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383.71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85.76 </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 </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295.90 </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548.51 </w:t>
            </w: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548.51 </w:t>
            </w: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金川南区</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333.04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 </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0.93 </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 </w:t>
            </w:r>
          </w:p>
        </w:tc>
        <w:tc>
          <w:tcPr>
            <w:tcW w:w="32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 </w:t>
            </w:r>
          </w:p>
        </w:tc>
        <w:tc>
          <w:tcPr>
            <w:tcW w:w="996"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裕隆工业园区</w:t>
            </w:r>
          </w:p>
        </w:tc>
        <w:tc>
          <w:tcPr>
            <w:tcW w:w="96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177.64 </w:t>
            </w:r>
          </w:p>
        </w:tc>
        <w:tc>
          <w:tcPr>
            <w:tcW w:w="86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 </w:t>
            </w:r>
          </w:p>
        </w:tc>
        <w:tc>
          <w:tcPr>
            <w:tcW w:w="864" w:type="dxa"/>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 </w:t>
            </w:r>
          </w:p>
        </w:tc>
        <w:tc>
          <w:tcPr>
            <w:tcW w:w="888"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16.53 </w:t>
            </w:r>
          </w:p>
        </w:tc>
        <w:tc>
          <w:tcPr>
            <w:tcW w:w="324" w:type="dxa"/>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16.53 </w:t>
            </w:r>
          </w:p>
        </w:tc>
        <w:tc>
          <w:tcPr>
            <w:tcW w:w="996" w:type="dxa"/>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0"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玉泉区</w:t>
            </w:r>
          </w:p>
        </w:tc>
        <w:tc>
          <w:tcPr>
            <w:tcW w:w="960"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19033.97 </w:t>
            </w:r>
          </w:p>
        </w:tc>
        <w:tc>
          <w:tcPr>
            <w:tcW w:w="864"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1333.41 </w:t>
            </w:r>
          </w:p>
        </w:tc>
        <w:tc>
          <w:tcPr>
            <w:tcW w:w="864"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408.22 </w:t>
            </w:r>
          </w:p>
        </w:tc>
        <w:tc>
          <w:tcPr>
            <w:tcW w:w="816"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53.66 </w:t>
            </w:r>
          </w:p>
        </w:tc>
        <w:tc>
          <w:tcPr>
            <w:tcW w:w="792"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871.53 </w:t>
            </w:r>
          </w:p>
        </w:tc>
        <w:tc>
          <w:tcPr>
            <w:tcW w:w="88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2411.23 </w:t>
            </w:r>
          </w:p>
        </w:tc>
        <w:tc>
          <w:tcPr>
            <w:tcW w:w="324" w:type="dxa"/>
            <w:tcBorders>
              <w:top w:val="single" w:color="000000" w:sz="4" w:space="0"/>
              <w:left w:val="single" w:color="000000" w:sz="4" w:space="0"/>
              <w:bottom w:val="single" w:color="000000" w:sz="8"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48" w:type="dxa"/>
            <w:tcBorders>
              <w:top w:val="single" w:color="000000" w:sz="4" w:space="0"/>
              <w:left w:val="single" w:color="000000" w:sz="4" w:space="0"/>
              <w:bottom w:val="single" w:color="000000" w:sz="8"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2411.23 </w:t>
            </w:r>
          </w:p>
        </w:tc>
        <w:tc>
          <w:tcPr>
            <w:tcW w:w="996" w:type="dxa"/>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15289.34 </w:t>
            </w:r>
          </w:p>
        </w:tc>
      </w:tr>
    </w:tbl>
    <w:p>
      <w:pPr>
        <w:ind w:left="0" w:leftChars="0" w:firstLine="0" w:firstLineChars="0"/>
        <w:rPr>
          <w:rFonts w:ascii="仿宋" w:hAnsi="仿宋" w:eastAsia="仿宋" w:cs="仿宋"/>
          <w:szCs w:val="32"/>
        </w:rPr>
      </w:pPr>
      <w:r>
        <w:rPr>
          <w:rFonts w:hint="eastAsia" w:ascii="仿宋" w:hAnsi="仿宋" w:eastAsia="仿宋" w:cs="仿宋"/>
          <w:szCs w:val="32"/>
        </w:rPr>
        <w:br w:type="page"/>
      </w:r>
    </w:p>
    <w:p>
      <w:pPr>
        <w:pStyle w:val="9"/>
        <w:ind w:firstLine="640"/>
        <w:rPr>
          <w:rFonts w:hint="eastAsia" w:ascii="仿宋" w:hAnsi="仿宋" w:eastAsia="仿宋" w:cs="仿宋"/>
          <w:lang w:val="en-US" w:eastAsia="zh-CN"/>
        </w:rPr>
      </w:pPr>
      <w:bookmarkStart w:id="310" w:name="_Toc31725"/>
      <w:bookmarkStart w:id="311" w:name="_Toc3424"/>
      <w:r>
        <w:rPr>
          <w:rFonts w:hint="eastAsia" w:ascii="仿宋" w:hAnsi="仿宋" w:eastAsia="仿宋" w:cs="仿宋"/>
        </w:rPr>
        <w:t>附件2：</w:t>
      </w:r>
      <w:r>
        <w:rPr>
          <w:rFonts w:hint="eastAsia" w:ascii="仿宋" w:hAnsi="仿宋" w:eastAsia="仿宋" w:cs="仿宋"/>
          <w:lang w:val="en-US" w:eastAsia="zh-CN"/>
        </w:rPr>
        <w:t>应急响应流程图</w:t>
      </w:r>
      <w:bookmarkEnd w:id="310"/>
    </w:p>
    <w:p>
      <w:pPr>
        <w:ind w:left="0" w:leftChars="0" w:firstLine="0" w:firstLineChars="0"/>
        <w:jc w:val="both"/>
        <w:rPr>
          <w:rFonts w:hint="default"/>
          <w:lang w:val="en-US" w:eastAsia="zh-CN"/>
        </w:rPr>
      </w:pPr>
      <w:r>
        <w:drawing>
          <wp:inline distT="0" distB="0" distL="114300" distR="114300">
            <wp:extent cx="5484495" cy="6967855"/>
            <wp:effectExtent l="0" t="0" r="1905" b="4445"/>
            <wp:docPr id="32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3" name="图片 1"/>
                    <pic:cNvPicPr>
                      <a:picLocks noChangeAspect="true"/>
                    </pic:cNvPicPr>
                  </pic:nvPicPr>
                  <pic:blipFill>
                    <a:blip r:embed="rId15"/>
                    <a:srcRect t="-1311" r="5558" b="13465"/>
                    <a:stretch>
                      <a:fillRect/>
                    </a:stretch>
                  </pic:blipFill>
                  <pic:spPr>
                    <a:xfrm>
                      <a:off x="0" y="0"/>
                      <a:ext cx="5484495" cy="6967855"/>
                    </a:xfrm>
                    <a:prstGeom prst="rect">
                      <a:avLst/>
                    </a:prstGeom>
                    <a:noFill/>
                    <a:ln>
                      <a:noFill/>
                    </a:ln>
                  </pic:spPr>
                </pic:pic>
              </a:graphicData>
            </a:graphic>
          </wp:inline>
        </w:drawing>
      </w:r>
    </w:p>
    <w:p>
      <w:pPr>
        <w:rPr>
          <w:rFonts w:hint="eastAsia" w:ascii="仿宋" w:hAnsi="仿宋" w:eastAsia="仿宋" w:cs="仿宋"/>
        </w:rPr>
      </w:pPr>
      <w:r>
        <w:rPr>
          <w:rFonts w:hint="eastAsia" w:ascii="仿宋" w:hAnsi="仿宋" w:eastAsia="仿宋" w:cs="仿宋"/>
        </w:rPr>
        <w:br w:type="page"/>
      </w:r>
    </w:p>
    <w:p>
      <w:pPr>
        <w:pStyle w:val="9"/>
        <w:ind w:firstLine="640"/>
        <w:rPr>
          <w:rFonts w:ascii="仿宋" w:hAnsi="仿宋" w:eastAsia="仿宋" w:cs="仿宋"/>
        </w:rPr>
      </w:pPr>
      <w:bookmarkStart w:id="312" w:name="_Toc20731"/>
      <w:r>
        <w:rPr>
          <w:rFonts w:hint="eastAsia" w:ascii="仿宋" w:hAnsi="仿宋" w:eastAsia="仿宋" w:cs="仿宋"/>
          <w:lang w:val="en-US" w:eastAsia="zh-CN"/>
        </w:rPr>
        <w:t>附件3：</w:t>
      </w:r>
      <w:r>
        <w:rPr>
          <w:rFonts w:hint="eastAsia" w:ascii="仿宋" w:hAnsi="仿宋" w:eastAsia="仿宋" w:cs="仿宋"/>
        </w:rPr>
        <w:t>森林火灾评估预判</w:t>
      </w:r>
      <w:bookmarkEnd w:id="308"/>
      <w:bookmarkEnd w:id="311"/>
      <w:bookmarkEnd w:id="312"/>
    </w:p>
    <w:p>
      <w:pPr>
        <w:ind w:firstLine="640"/>
        <w:rPr>
          <w:rFonts w:hint="eastAsia" w:ascii="仿宋" w:hAnsi="仿宋" w:eastAsia="仿宋" w:cs="仿宋"/>
          <w:szCs w:val="32"/>
        </w:rPr>
      </w:pPr>
      <w:r>
        <w:rPr>
          <w:rFonts w:hint="eastAsia" w:ascii="仿宋" w:hAnsi="仿宋" w:eastAsia="仿宋" w:cs="仿宋"/>
          <w:szCs w:val="32"/>
        </w:rPr>
        <w:t>森林草原火灾具有范围大、损失惨、时间长、火势猛等特点，是森林草原最危险的敌人，也是林草最可怕的灾害，它会给森林草原带来最有害、最具毁灭性的后果。森林草原火灾不只是烧成片的林草，伤害林内的动物，而且还降低林草的更新能力，引起土壤的贫瘠和破坏林草涵养水源的作用，甚至导致生态失去平衡。</w:t>
      </w:r>
    </w:p>
    <w:p>
      <w:pPr>
        <w:ind w:firstLine="640"/>
        <w:rPr>
          <w:rFonts w:hint="eastAsia" w:ascii="仿宋" w:hAnsi="仿宋" w:eastAsia="仿宋" w:cs="仿宋"/>
          <w:szCs w:val="32"/>
        </w:rPr>
      </w:pPr>
      <w:r>
        <w:rPr>
          <w:rFonts w:hint="eastAsia" w:ascii="仿宋" w:hAnsi="仿宋" w:eastAsia="仿宋" w:cs="仿宋"/>
          <w:szCs w:val="32"/>
        </w:rPr>
        <w:t>依据玉泉区2020年国土变更调查成果数据，呼和浩特市玉泉区土地面积为19033.97公顷，林地、草地共3744.64公顷，占全区土地面积的19.67%。其中：林地面积为1333.41公顷，占全区土地面积的7%，包括：乔木林地408.22 公顷，灌木林地53.66 公顷，其他林地871.53 公顷；草地面积为2411.23 公顷，占全区土地面积的12.67%。其中均为其他草地,面积为2411.23 公顷。</w:t>
      </w:r>
    </w:p>
    <w:p>
      <w:pPr>
        <w:ind w:firstLine="640"/>
        <w:rPr>
          <w:rFonts w:ascii="仿宋" w:hAnsi="仿宋" w:eastAsia="仿宋" w:cs="仿宋"/>
          <w:szCs w:val="32"/>
        </w:rPr>
      </w:pPr>
      <w:r>
        <w:rPr>
          <w:rFonts w:hint="eastAsia" w:ascii="仿宋" w:hAnsi="仿宋" w:eastAsia="仿宋" w:cs="仿宋"/>
          <w:szCs w:val="32"/>
        </w:rPr>
        <w:t>2022年玉泉区森林和草原局在密密板村、乌兰巴图村、后八里村等7个村庄做了草原森林植被恢复工作，具体种植品种有新疆杨和本地杨两种共计50000株左右，面积近2000公顷，投资金额100万左右。可见，随着林草植被的大幅度提高，可燃物存量也会迅速增加，火险等级攀升，火灾管控难度越来越大，全区森林草原防灭火形势十分严峻，一旦发生森林草原火灾，极易造成较大经济损失。</w:t>
      </w:r>
    </w:p>
    <w:p>
      <w:pPr>
        <w:ind w:firstLine="640"/>
        <w:rPr>
          <w:rFonts w:hint="default" w:ascii="仿宋" w:hAnsi="仿宋" w:eastAsia="仿宋" w:cs="仿宋"/>
          <w:b/>
          <w:bCs/>
          <w:szCs w:val="32"/>
          <w:lang w:val="en-US" w:eastAsia="zh-CN"/>
        </w:rPr>
      </w:pPr>
      <w:bookmarkStart w:id="313" w:name="_Toc31884"/>
      <w:r>
        <w:rPr>
          <w:rFonts w:hint="eastAsia" w:ascii="仿宋" w:hAnsi="仿宋" w:eastAsia="仿宋" w:cs="仿宋"/>
          <w:b/>
          <w:bCs/>
          <w:szCs w:val="32"/>
          <w:lang w:val="en-US" w:eastAsia="zh-CN"/>
        </w:rPr>
        <w:t>环境分析</w:t>
      </w:r>
      <w:bookmarkEnd w:id="313"/>
      <w:r>
        <w:rPr>
          <w:rFonts w:hint="eastAsia" w:ascii="仿宋" w:hAnsi="仿宋" w:eastAsia="仿宋" w:cs="仿宋"/>
          <w:b/>
          <w:bCs/>
          <w:szCs w:val="32"/>
          <w:lang w:val="en-US" w:eastAsia="zh-CN"/>
        </w:rPr>
        <w:t>：</w:t>
      </w:r>
    </w:p>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玉泉区地处土默川平原，地貌类型以平原为主，北部地质属于山前洪积冲积倾斜平原，南部为大黑河冲积平原。    </w:t>
      </w:r>
    </w:p>
    <w:p>
      <w:pPr>
        <w:ind w:firstLine="640"/>
        <w:rPr>
          <w:rFonts w:hint="default" w:ascii="仿宋" w:hAnsi="仿宋" w:eastAsia="仿宋" w:cs="仿宋"/>
          <w:szCs w:val="32"/>
          <w:lang w:val="en-US" w:eastAsia="zh-CN"/>
        </w:rPr>
      </w:pPr>
      <w:r>
        <w:rPr>
          <w:rFonts w:hint="eastAsia" w:ascii="仿宋" w:hAnsi="仿宋" w:eastAsia="仿宋" w:cs="仿宋"/>
          <w:szCs w:val="32"/>
          <w:lang w:val="en-US" w:eastAsia="zh-CN"/>
        </w:rPr>
        <w:t>玉泉区属温带大陆性季风气候，为北方干燥炎热型。春季历来是火灾多发时期，受季节性气候的影响，春季气温回升迅速，降雨量少，风大物燥，天气干旱的影响，杂草林木火情明显上升。</w:t>
      </w:r>
    </w:p>
    <w:p>
      <w:pPr>
        <w:ind w:firstLine="640"/>
        <w:rPr>
          <w:rFonts w:hint="default" w:ascii="仿宋" w:hAnsi="仿宋" w:eastAsia="仿宋" w:cs="仿宋"/>
          <w:szCs w:val="32"/>
          <w:lang w:val="en-US" w:eastAsia="zh-CN"/>
        </w:rPr>
      </w:pPr>
      <w:r>
        <w:rPr>
          <w:rFonts w:hint="eastAsia" w:ascii="仿宋" w:hAnsi="仿宋" w:eastAsia="仿宋" w:cs="仿宋"/>
          <w:szCs w:val="32"/>
          <w:lang w:val="en-US" w:eastAsia="zh-CN"/>
        </w:rPr>
        <w:t>冬季较长，约占半年，无霜期仅120多天。多年平均气温5—6℃。最冷是一月，平均气温约-13.2℃；最热为七月，平均气温21.9℃。平均气温年较差35.1℃。极端最高气温37.8℃（1955年7月23日），最低为-34.5℃（1957年2月8日），最大冰冻深度为1.2米。冬季较冷，但有逐渐转暖的趋势。日温差变化大，故有“早穿皮袄午穿纱”的民谚。气候干燥少雨雪，年平均降水量约400毫米，雨水多集中在七、八月间。历史上最高年降雨量900多毫米，最低年降雨量200毫米，日最大降雨量148.8毫米（1966年7月28日，五里营村）。风较多，全年静风日100天左右。大风季节多在春季。全年主导风向是西北风，夏季多西南风和东北风。林草生长较好可燃物储量较大，加之冬、春大风天气较多一旦发生火灾将损失严重。</w:t>
      </w:r>
    </w:p>
    <w:p>
      <w:pPr>
        <w:ind w:firstLine="640"/>
        <w:rPr>
          <w:rFonts w:hint="default" w:ascii="仿宋" w:hAnsi="仿宋" w:eastAsia="仿宋" w:cs="仿宋"/>
          <w:b/>
          <w:bCs/>
          <w:szCs w:val="32"/>
          <w:lang w:val="en-US" w:eastAsia="zh-CN"/>
        </w:rPr>
      </w:pPr>
      <w:bookmarkStart w:id="314" w:name="_Toc512"/>
      <w:bookmarkStart w:id="315" w:name="_Toc22093"/>
      <w:bookmarkStart w:id="316" w:name="_Toc18912"/>
      <w:r>
        <w:rPr>
          <w:rFonts w:hint="eastAsia" w:ascii="仿宋" w:hAnsi="仿宋" w:eastAsia="仿宋" w:cs="仿宋"/>
          <w:b/>
          <w:bCs/>
          <w:szCs w:val="32"/>
          <w:lang w:val="en-US" w:eastAsia="zh-CN"/>
        </w:rPr>
        <w:t>可燃物分析</w:t>
      </w:r>
      <w:bookmarkEnd w:id="314"/>
      <w:bookmarkEnd w:id="315"/>
      <w:bookmarkEnd w:id="316"/>
    </w:p>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森林草原可燃物是燃烧的基础，是火灾行为的主体。随着全区造林、种草面积的持续增加，森林草原总面积占全区总土地面积的19.67%，其中：小黑河镇森林草原面积与全区总土地面积的占比21.29%；其次是昭君路街道办事处森林草原面积与全区总土地面积占比为20.88%；鄂尔多斯路街道办事处与裕隆工业园区森林草原面积与全区总土地面积占比分别为20.53%、10.22%。</w:t>
      </w:r>
    </w:p>
    <w:p>
      <w:pPr>
        <w:ind w:firstLine="640"/>
        <w:rPr>
          <w:rFonts w:hint="default" w:ascii="仿宋" w:hAnsi="仿宋" w:eastAsia="仿宋" w:cs="仿宋"/>
          <w:szCs w:val="32"/>
          <w:lang w:val="en-US" w:eastAsia="zh-CN"/>
        </w:rPr>
      </w:pPr>
      <w:r>
        <w:rPr>
          <w:rFonts w:hint="eastAsia" w:ascii="仿宋" w:hAnsi="仿宋" w:eastAsia="仿宋" w:cs="仿宋"/>
          <w:szCs w:val="32"/>
          <w:lang w:val="en-US" w:eastAsia="zh-CN"/>
        </w:rPr>
        <w:t>玉泉区乡镇级森林草原火灾整体为次重点防治。主要是因为森林植被迅速恢复，导致可燃物增多，随着可燃物内含的水分逐渐蒸发，温度逐渐升高，容易达到可燃物的着火点，从而导致森林草原火灾的频繁发生。</w:t>
      </w:r>
    </w:p>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玉泉区的乔木林地可燃物分布较为分散且整体可燃物载量较高，南部和北部燃物载量较高，灌木林地可燃物载量在全区内整体偏低；灌木林地和其它林地分布均匀，全区灌木及其他可燃物载量较低；林地可燃物总载量分布和乔木林地可燃物分布情况相似，在东南部和西北部有所集中。由此可见，玉泉区森林草原覆盖度相对较高、火源点较多，该地区森林火灾危险性等级为中低级。详见下表：</w:t>
      </w:r>
    </w:p>
    <w:p>
      <w:pPr>
        <w:pStyle w:val="17"/>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各乡镇森林、草原资源与本乡镇土地面积占比情况表</w:t>
      </w:r>
    </w:p>
    <w:tbl>
      <w:tblPr>
        <w:tblStyle w:val="20"/>
        <w:tblpPr w:leftFromText="180" w:rightFromText="180" w:vertAnchor="text" w:horzAnchor="page" w:tblpXSpec="center" w:tblpY="11"/>
        <w:tblOverlap w:val="never"/>
        <w:tblW w:w="9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1464"/>
        <w:gridCol w:w="1332"/>
        <w:gridCol w:w="1020"/>
        <w:gridCol w:w="1200"/>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2460" w:type="dxa"/>
            <w:tcBorders>
              <w:top w:val="nil"/>
              <w:left w:val="nil"/>
              <w:bottom w:val="nil"/>
              <w:right w:val="nil"/>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p>
        </w:tc>
        <w:tc>
          <w:tcPr>
            <w:tcW w:w="1464"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4"/>
                <w:szCs w:val="24"/>
                <w:u w:val="none"/>
              </w:rPr>
            </w:pPr>
          </w:p>
        </w:tc>
        <w:tc>
          <w:tcPr>
            <w:tcW w:w="1332" w:type="dxa"/>
            <w:tcBorders>
              <w:top w:val="nil"/>
              <w:left w:val="nil"/>
              <w:bottom w:val="nil"/>
              <w:right w:val="nil"/>
            </w:tcBorders>
            <w:noWrap/>
            <w:vAlign w:val="center"/>
          </w:tcPr>
          <w:p>
            <w:pPr>
              <w:spacing w:line="240" w:lineRule="auto"/>
              <w:ind w:firstLine="0" w:firstLineChars="0"/>
              <w:jc w:val="center"/>
              <w:rPr>
                <w:rFonts w:hint="eastAsia" w:ascii="宋体" w:hAnsi="宋体" w:eastAsia="宋体" w:cs="宋体"/>
                <w:b/>
                <w:bCs/>
                <w:i w:val="0"/>
                <w:iCs w:val="0"/>
                <w:color w:val="000000"/>
                <w:sz w:val="24"/>
                <w:szCs w:val="24"/>
                <w:u w:val="none"/>
              </w:rPr>
            </w:pPr>
          </w:p>
        </w:tc>
        <w:tc>
          <w:tcPr>
            <w:tcW w:w="1020" w:type="dxa"/>
            <w:tcBorders>
              <w:top w:val="nil"/>
              <w:left w:val="nil"/>
              <w:bottom w:val="nil"/>
              <w:right w:val="nil"/>
            </w:tcBorders>
            <w:noWrap/>
            <w:vAlign w:val="bottom"/>
          </w:tcPr>
          <w:p>
            <w:pPr>
              <w:spacing w:line="240" w:lineRule="auto"/>
              <w:ind w:firstLine="0" w:firstLineChars="0"/>
              <w:jc w:val="center"/>
              <w:rPr>
                <w:rFonts w:hint="eastAsia" w:ascii="宋体" w:hAnsi="宋体" w:eastAsia="宋体" w:cs="宋体"/>
                <w:b/>
                <w:bCs/>
                <w:i w:val="0"/>
                <w:iCs w:val="0"/>
                <w:color w:val="000000"/>
                <w:sz w:val="24"/>
                <w:szCs w:val="24"/>
                <w:u w:val="none"/>
              </w:rPr>
            </w:pPr>
          </w:p>
        </w:tc>
        <w:tc>
          <w:tcPr>
            <w:tcW w:w="1200" w:type="dxa"/>
            <w:tcBorders>
              <w:top w:val="nil"/>
              <w:left w:val="nil"/>
              <w:bottom w:val="nil"/>
              <w:right w:val="nil"/>
            </w:tcBorders>
            <w:noWrap/>
            <w:vAlign w:val="bottom"/>
          </w:tcPr>
          <w:p>
            <w:pPr>
              <w:spacing w:line="240" w:lineRule="auto"/>
              <w:ind w:firstLine="0" w:firstLineChars="0"/>
              <w:jc w:val="center"/>
              <w:rPr>
                <w:rFonts w:hint="eastAsia" w:ascii="宋体" w:hAnsi="宋体" w:eastAsia="宋体" w:cs="宋体"/>
                <w:b/>
                <w:bCs/>
                <w:i w:val="0"/>
                <w:iCs w:val="0"/>
                <w:color w:val="000000"/>
                <w:sz w:val="24"/>
                <w:szCs w:val="24"/>
                <w:u w:val="none"/>
              </w:rPr>
            </w:pPr>
          </w:p>
        </w:tc>
        <w:tc>
          <w:tcPr>
            <w:tcW w:w="1565" w:type="dxa"/>
            <w:tcBorders>
              <w:top w:val="nil"/>
              <w:left w:val="nil"/>
              <w:bottom w:val="nil"/>
              <w:right w:val="nil"/>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单位：公顷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2460" w:type="dxa"/>
            <w:tcBorders>
              <w:top w:val="single" w:color="000000" w:sz="12"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w:t>
            </w:r>
          </w:p>
        </w:tc>
        <w:tc>
          <w:tcPr>
            <w:tcW w:w="1464" w:type="dxa"/>
            <w:tcBorders>
              <w:top w:val="single" w:color="000000" w:sz="12"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552" w:type="dxa"/>
            <w:gridSpan w:val="3"/>
            <w:tcBorders>
              <w:top w:val="single" w:color="000000" w:sz="12" w:space="0"/>
              <w:left w:val="single" w:color="000000" w:sz="4" w:space="0"/>
              <w:bottom w:val="single" w:color="000000" w:sz="4" w:space="0"/>
              <w:right w:val="single" w:color="000000" w:sz="4" w:space="0"/>
            </w:tcBorders>
            <w:noWrap/>
            <w:vAlign w:val="bottom"/>
          </w:tcPr>
          <w:p>
            <w:pPr>
              <w:keepNext w:val="0"/>
              <w:keepLines w:val="0"/>
              <w:widowControl/>
              <w:suppressLineNumbers w:val="0"/>
              <w:spacing w:line="240" w:lineRule="auto"/>
              <w:ind w:firstLine="0" w:firstLineChars="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1565" w:type="dxa"/>
            <w:tcBorders>
              <w:top w:val="single" w:color="000000" w:sz="12"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林地</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草地</w:t>
            </w:r>
          </w:p>
        </w:tc>
        <w:tc>
          <w:tcPr>
            <w:tcW w:w="1565" w:type="dxa"/>
            <w:tcBorders>
              <w:top w:val="single" w:color="000000" w:sz="4" w:space="0"/>
              <w:left w:val="single" w:color="000000" w:sz="4" w:space="0"/>
              <w:bottom w:val="single" w:color="000000" w:sz="4" w:space="0"/>
              <w:right w:val="single" w:color="000000" w:sz="12"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小黑河镇</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11956.90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2545.48</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788.57 </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1756.91 </w:t>
            </w: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小召前街街道办事处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110.41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兴隆巷街道办事处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193.00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长和廊街道办事处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107.18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石东路街道办事处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168.11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大南街街道办事处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100.07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i w:val="0"/>
                <w:iCs w:val="0"/>
                <w:color w:val="000000"/>
                <w:sz w:val="22"/>
                <w:szCs w:val="22"/>
                <w:u w:val="none"/>
              </w:rPr>
            </w:pP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鄂尔多斯路街道办事处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956.74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196.39</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132.37 </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64.02 </w:t>
            </w: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西菜园街道办事处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466.31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21.70 </w:t>
            </w: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昭君路街道办事处</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4464.58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932.22</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383.71 </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548.51 </w:t>
            </w: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460" w:type="dxa"/>
            <w:tcBorders>
              <w:top w:val="single" w:color="000000" w:sz="4" w:space="0"/>
              <w:left w:val="single" w:color="000000" w:sz="12"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金川南区</w:t>
            </w:r>
          </w:p>
        </w:tc>
        <w:tc>
          <w:tcPr>
            <w:tcW w:w="1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333.04 </w:t>
            </w:r>
          </w:p>
        </w:tc>
        <w:tc>
          <w:tcPr>
            <w:tcW w:w="13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 </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 </w:t>
            </w:r>
          </w:p>
        </w:tc>
        <w:tc>
          <w:tcPr>
            <w:tcW w:w="1565" w:type="dxa"/>
            <w:tcBorders>
              <w:top w:val="single" w:color="000000" w:sz="4" w:space="0"/>
              <w:left w:val="single" w:color="000000" w:sz="4" w:space="0"/>
              <w:bottom w:val="single" w:color="000000" w:sz="4"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2460" w:type="dxa"/>
            <w:tcBorders>
              <w:top w:val="single" w:color="000000" w:sz="4" w:space="0"/>
              <w:left w:val="single" w:color="000000" w:sz="12"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裕隆工业园区</w:t>
            </w:r>
          </w:p>
        </w:tc>
        <w:tc>
          <w:tcPr>
            <w:tcW w:w="146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177.64 </w:t>
            </w:r>
          </w:p>
        </w:tc>
        <w:tc>
          <w:tcPr>
            <w:tcW w:w="1332"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102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2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16.53 </w:t>
            </w:r>
          </w:p>
        </w:tc>
        <w:tc>
          <w:tcPr>
            <w:tcW w:w="1565" w:type="dxa"/>
            <w:tcBorders>
              <w:top w:val="single" w:color="000000" w:sz="4" w:space="0"/>
              <w:left w:val="single" w:color="000000" w:sz="4" w:space="0"/>
              <w:bottom w:val="nil"/>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60" w:type="dxa"/>
            <w:tcBorders>
              <w:top w:val="single" w:color="000000" w:sz="4" w:space="0"/>
              <w:left w:val="single" w:color="000000" w:sz="12" w:space="0"/>
              <w:bottom w:val="single" w:color="000000" w:sz="12"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玉泉区</w:t>
            </w:r>
          </w:p>
        </w:tc>
        <w:tc>
          <w:tcPr>
            <w:tcW w:w="1464" w:type="dxa"/>
            <w:tcBorders>
              <w:top w:val="single" w:color="000000" w:sz="4" w:space="0"/>
              <w:left w:val="single" w:color="000000" w:sz="4" w:space="0"/>
              <w:bottom w:val="single" w:color="000000" w:sz="12" w:space="0"/>
              <w:right w:val="single" w:color="000000" w:sz="4" w:space="0"/>
            </w:tcBorders>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19033.96921</w:t>
            </w:r>
          </w:p>
        </w:tc>
        <w:tc>
          <w:tcPr>
            <w:tcW w:w="1332" w:type="dxa"/>
            <w:tcBorders>
              <w:top w:val="single" w:color="000000" w:sz="4" w:space="0"/>
              <w:left w:val="single" w:color="000000" w:sz="4" w:space="0"/>
              <w:bottom w:val="single" w:color="000000" w:sz="12" w:space="0"/>
              <w:right w:val="single" w:color="000000" w:sz="4" w:space="0"/>
            </w:tcBorders>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3744.64</w:t>
            </w:r>
          </w:p>
        </w:tc>
        <w:tc>
          <w:tcPr>
            <w:tcW w:w="1020" w:type="dxa"/>
            <w:tcBorders>
              <w:top w:val="single" w:color="000000" w:sz="4" w:space="0"/>
              <w:left w:val="single" w:color="000000" w:sz="4" w:space="0"/>
              <w:bottom w:val="single" w:color="000000" w:sz="12" w:space="0"/>
              <w:right w:val="single" w:color="000000" w:sz="4" w:space="0"/>
            </w:tcBorders>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1333.41</w:t>
            </w:r>
          </w:p>
        </w:tc>
        <w:tc>
          <w:tcPr>
            <w:tcW w:w="1200" w:type="dxa"/>
            <w:tcBorders>
              <w:top w:val="single" w:color="000000" w:sz="4" w:space="0"/>
              <w:left w:val="single" w:color="000000" w:sz="4" w:space="0"/>
              <w:bottom w:val="single" w:color="000000" w:sz="12" w:space="0"/>
              <w:right w:val="single" w:color="000000" w:sz="4" w:space="0"/>
            </w:tcBorders>
            <w:noWrap/>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2411.23 </w:t>
            </w:r>
          </w:p>
        </w:tc>
        <w:tc>
          <w:tcPr>
            <w:tcW w:w="1565" w:type="dxa"/>
            <w:tcBorders>
              <w:top w:val="single" w:color="000000" w:sz="4" w:space="0"/>
              <w:left w:val="single" w:color="000000" w:sz="4" w:space="0"/>
              <w:bottom w:val="single" w:color="000000" w:sz="12" w:space="0"/>
              <w:right w:val="single" w:color="000000" w:sz="12" w:space="0"/>
            </w:tcBorders>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各乡镇森林、草原资源土地面积占比情况</w:t>
      </w:r>
    </w:p>
    <w:p>
      <w:pPr>
        <w:pStyle w:val="17"/>
        <w:ind w:left="0" w:leftChars="0" w:firstLine="0" w:firstLineChars="0"/>
        <w:jc w:val="both"/>
        <w:rPr>
          <w:rFonts w:hint="eastAsia"/>
          <w:lang w:val="en-US" w:eastAsia="zh-CN"/>
        </w:rPr>
      </w:pPr>
      <w:r>
        <w:drawing>
          <wp:inline distT="0" distB="0" distL="114300" distR="114300">
            <wp:extent cx="4735830" cy="2705100"/>
            <wp:effectExtent l="0" t="0" r="7620" b="0"/>
            <wp:docPr id="10" name="图表 10"/>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640"/>
        <w:rPr>
          <w:rFonts w:hint="default" w:ascii="仿宋" w:hAnsi="仿宋" w:eastAsia="仿宋" w:cs="仿宋"/>
          <w:b/>
          <w:bCs/>
          <w:szCs w:val="32"/>
          <w:lang w:val="en-US" w:eastAsia="zh-CN"/>
        </w:rPr>
      </w:pPr>
      <w:bookmarkStart w:id="317" w:name="_Toc29000"/>
      <w:bookmarkStart w:id="318" w:name="_Toc32088"/>
      <w:bookmarkStart w:id="319" w:name="_Toc27198"/>
      <w:r>
        <w:rPr>
          <w:rFonts w:hint="eastAsia" w:ascii="仿宋" w:hAnsi="仿宋" w:eastAsia="仿宋" w:cs="仿宋"/>
          <w:b/>
          <w:bCs/>
          <w:szCs w:val="32"/>
          <w:lang w:val="en-US" w:eastAsia="zh-CN"/>
        </w:rPr>
        <w:t>火源管控分析</w:t>
      </w:r>
      <w:bookmarkEnd w:id="317"/>
      <w:bookmarkEnd w:id="318"/>
      <w:bookmarkEnd w:id="319"/>
    </w:p>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森林、草原火灾的发生多由人为引起，由自燃火引起的火灾与森林、草原火灾总数的占比很小。内蒙古是</w:t>
      </w:r>
      <w:r>
        <w:rPr>
          <w:rFonts w:hint="default" w:ascii="仿宋" w:hAnsi="仿宋" w:eastAsia="仿宋" w:cs="仿宋"/>
          <w:szCs w:val="32"/>
          <w:lang w:val="en-US" w:eastAsia="zh-CN"/>
        </w:rPr>
        <w:t>草原集中分布区，农、牧、林交错并存。随着草原生态环境持续改善，近年进入牧区从事生产经营活动、休闲度假人员明显增多，活动分散，点多线长面广，形成极大的火险隐患。</w:t>
      </w:r>
    </w:p>
    <w:p>
      <w:pPr>
        <w:ind w:firstLine="640"/>
        <w:sectPr>
          <w:footerReference r:id="rId11" w:type="default"/>
          <w:pgSz w:w="11906" w:h="16838"/>
          <w:pgMar w:top="2098" w:right="1474" w:bottom="1985" w:left="1588" w:header="851" w:footer="1701" w:gutter="170"/>
          <w:pgNumType w:start="1"/>
          <w:cols w:space="720" w:num="1"/>
          <w:docGrid w:type="lines" w:linePitch="442" w:charSpace="0"/>
        </w:sectPr>
      </w:pPr>
      <w:r>
        <w:rPr>
          <w:rFonts w:hint="eastAsia" w:ascii="仿宋" w:hAnsi="仿宋" w:eastAsia="仿宋" w:cs="仿宋"/>
          <w:szCs w:val="32"/>
          <w:lang w:val="en-US" w:eastAsia="zh-CN"/>
        </w:rPr>
        <w:t>目前玉泉区野外用火主要是生产性用火、习俗用火、野外烧烤、上坟烧纸、放鞭炮等，随意用火现象时有发生，火灾风险隐患仍然存在。每年10月至次年5月，冬春季涉农村、社区存在的秸秆焚烧引发的火灾，重要的节假日，春节、清明节、五一国际劳动节、十一国庆节、以及寒暑假期间进入了旅游度假高峰时期，外来人口明显增多，人员流动性大，大量的人为活动，进一步增加了火源管理工作的难度，在今后一段时期内，火源控制难度依然很大。有群众生活用火、林区机动车辆携带的火种、输电线路老化等，随着森林面积的增加、进入林区活动人员的骤增，在今后一段时期内，火源控制难度依然较大。</w:t>
      </w:r>
    </w:p>
    <w:p>
      <w:pPr>
        <w:pStyle w:val="9"/>
        <w:ind w:firstLine="0" w:firstLineChars="0"/>
      </w:pPr>
      <w:bookmarkStart w:id="320" w:name="_Toc13715"/>
      <w:bookmarkStart w:id="321" w:name="_Toc13949"/>
      <w:bookmarkStart w:id="322" w:name="_Toc30175"/>
      <w:r>
        <w:rPr>
          <w:rFonts w:hint="eastAsia"/>
        </w:rPr>
        <w:t>附件</w:t>
      </w:r>
      <w:bookmarkEnd w:id="297"/>
      <w:r>
        <w:rPr>
          <w:rFonts w:hint="eastAsia"/>
          <w:lang w:val="en-US" w:eastAsia="zh-CN"/>
        </w:rPr>
        <w:t>4</w:t>
      </w:r>
      <w:r>
        <w:rPr>
          <w:rFonts w:hint="eastAsia"/>
        </w:rPr>
        <w:t>：</w:t>
      </w:r>
      <w:bookmarkEnd w:id="298"/>
      <w:bookmarkEnd w:id="299"/>
      <w:bookmarkEnd w:id="300"/>
      <w:bookmarkEnd w:id="301"/>
      <w:bookmarkEnd w:id="302"/>
      <w:bookmarkEnd w:id="303"/>
      <w:bookmarkEnd w:id="304"/>
      <w:bookmarkEnd w:id="305"/>
      <w:bookmarkEnd w:id="306"/>
      <w:bookmarkEnd w:id="307"/>
      <w:bookmarkStart w:id="323" w:name="_Toc15865"/>
      <w:bookmarkStart w:id="324" w:name="_Toc3814"/>
      <w:bookmarkStart w:id="325" w:name="_Toc30102"/>
      <w:bookmarkStart w:id="326" w:name="_Toc24931"/>
      <w:bookmarkStart w:id="327" w:name="_Toc426382155"/>
      <w:bookmarkStart w:id="328" w:name="_Toc27745420"/>
      <w:r>
        <w:rPr>
          <w:rFonts w:hint="eastAsia"/>
        </w:rPr>
        <w:t>玉泉区有关应急部门人员的联系方式</w:t>
      </w:r>
      <w:bookmarkEnd w:id="309"/>
      <w:bookmarkEnd w:id="320"/>
      <w:bookmarkEnd w:id="321"/>
      <w:bookmarkEnd w:id="322"/>
      <w:bookmarkEnd w:id="323"/>
      <w:bookmarkEnd w:id="324"/>
      <w:bookmarkEnd w:id="325"/>
      <w:bookmarkEnd w:id="326"/>
    </w:p>
    <w:tbl>
      <w:tblPr>
        <w:tblStyle w:val="20"/>
        <w:tblpPr w:leftFromText="180" w:rightFromText="180" w:vertAnchor="text" w:horzAnchor="page" w:tblpX="1897" w:tblpY="632"/>
        <w:tblOverlap w:val="never"/>
        <w:tblW w:w="8248" w:type="dxa"/>
        <w:tblInd w:w="0" w:type="dxa"/>
        <w:tblLayout w:type="fixed"/>
        <w:tblCellMar>
          <w:top w:w="0" w:type="dxa"/>
          <w:left w:w="108" w:type="dxa"/>
          <w:bottom w:w="0" w:type="dxa"/>
          <w:right w:w="108" w:type="dxa"/>
        </w:tblCellMar>
      </w:tblPr>
      <w:tblGrid>
        <w:gridCol w:w="1609"/>
        <w:gridCol w:w="968"/>
        <w:gridCol w:w="5671"/>
      </w:tblGrid>
      <w:tr>
        <w:trPr>
          <w:trHeight w:val="1160" w:hRule="atLeast"/>
        </w:trPr>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应急指挥部职务</w:t>
            </w:r>
          </w:p>
        </w:tc>
        <w:tc>
          <w:tcPr>
            <w:tcW w:w="968" w:type="dxa"/>
            <w:tcBorders>
              <w:top w:val="single" w:color="000000" w:sz="4" w:space="0"/>
              <w:left w:val="single" w:color="000000" w:sz="4" w:space="0"/>
              <w:bottom w:val="single" w:color="000000" w:sz="4" w:space="0"/>
              <w:right w:val="nil"/>
            </w:tcBorders>
            <w:noWrap/>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姓名</w:t>
            </w:r>
          </w:p>
        </w:tc>
        <w:tc>
          <w:tcPr>
            <w:tcW w:w="567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单位及行政职务</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总指挥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南 男</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区委副书记、区人民政府区长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副总指挥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刘吉元</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区委常委、区人民政府常务副区长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温</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艳</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杨德杰</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朱文博</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区人民政府副区长、区公安分局局长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齐</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敏</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区委办公室主任</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朱朝峰</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区政府办公室主任</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李官军</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区森林草原防灭火指挥部办公室主任</w:t>
            </w:r>
          </w:p>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区应急管理局局长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石 爽</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区消防大队大队长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姜丞曜</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区农牧和科技局局长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赵世英</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区林业和草原分局局长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田金有</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区委宣传部副部长、网信办主任</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李赞峰</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区财政局局长</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贺瑞军</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区发展改革委主任</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郝丽丽</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区教育局局长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杨文波</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区工业和信息化局局长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吴建军  </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区民政局局长</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崔  晶</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区司法局局长</w:t>
            </w:r>
          </w:p>
        </w:tc>
      </w:tr>
      <w:tr>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云建平 </w:t>
            </w:r>
          </w:p>
        </w:tc>
        <w:tc>
          <w:tcPr>
            <w:tcW w:w="5671" w:type="dxa"/>
            <w:tcBorders>
              <w:top w:val="single" w:color="auto" w:sz="4" w:space="0"/>
              <w:left w:val="single" w:color="000000" w:sz="4" w:space="0"/>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区文体旅游</w:t>
            </w:r>
            <w:r>
              <w:rPr>
                <w:rFonts w:hint="eastAsia" w:ascii="仿宋" w:hAnsi="仿宋" w:eastAsia="仿宋" w:cs="仿宋"/>
                <w:color w:val="000000"/>
                <w:kern w:val="0"/>
                <w:sz w:val="24"/>
                <w:highlight w:val="none"/>
                <w:lang w:val="en-US" w:eastAsia="zh-CN"/>
              </w:rPr>
              <w:t>广电</w:t>
            </w:r>
            <w:r>
              <w:rPr>
                <w:rFonts w:hint="eastAsia" w:ascii="仿宋" w:hAnsi="仿宋" w:eastAsia="仿宋" w:cs="仿宋"/>
                <w:color w:val="000000"/>
                <w:kern w:val="0"/>
                <w:sz w:val="24"/>
                <w:highlight w:val="none"/>
              </w:rPr>
              <w:t>局局长</w:t>
            </w:r>
          </w:p>
        </w:tc>
      </w:tr>
      <w:tr>
        <w:trPr>
          <w:trHeight w:val="600" w:hRule="atLeast"/>
        </w:trPr>
        <w:tc>
          <w:tcPr>
            <w:tcW w:w="1609" w:type="dxa"/>
            <w:tcBorders>
              <w:top w:val="single" w:color="auto"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吴志刚  </w:t>
            </w:r>
          </w:p>
        </w:tc>
        <w:tc>
          <w:tcPr>
            <w:tcW w:w="567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区卫生健康委员会主任</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董向阳 </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区城管执法局局长</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马新龙 </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区生态环境分局局长</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451"/>
              </w:tabs>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杜英华</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区自然资源分局</w:t>
            </w:r>
            <w:r>
              <w:rPr>
                <w:rFonts w:hint="eastAsia" w:ascii="仿宋" w:hAnsi="仿宋" w:eastAsia="仿宋" w:cs="仿宋"/>
                <w:color w:val="000000"/>
                <w:kern w:val="0"/>
                <w:sz w:val="24"/>
                <w:highlight w:val="none"/>
                <w:lang w:val="en-US" w:eastAsia="zh-CN"/>
              </w:rPr>
              <w:t>局长</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郭月旺</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区公安分局副局长</w:t>
            </w:r>
          </w:p>
        </w:tc>
      </w:tr>
      <w:tr>
        <w:trPr>
          <w:trHeight w:val="602"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呼日查</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区人民法院审判委员会专职委员</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武  强</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区人民检察院副检察长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荣晓霞</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区人社局局长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王晨杰</w:t>
            </w:r>
            <w:r>
              <w:rPr>
                <w:rFonts w:hint="eastAsia" w:ascii="仿宋" w:hAnsi="仿宋" w:eastAsia="仿宋" w:cs="仿宋"/>
                <w:color w:val="000000"/>
                <w:kern w:val="0"/>
                <w:sz w:val="24"/>
                <w:highlight w:val="none"/>
              </w:rPr>
              <w:t xml:space="preserve"> </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区审计局局长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李 璐 </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区统计局局长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安跃东</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供电分局局长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韩小平</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市交通运输综合执法支队执</w:t>
            </w:r>
          </w:p>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法三</w:t>
            </w:r>
            <w:r>
              <w:rPr>
                <w:rFonts w:hint="eastAsia" w:ascii="仿宋" w:hAnsi="仿宋" w:eastAsia="仿宋" w:cs="仿宋"/>
                <w:color w:val="000000"/>
                <w:kern w:val="0"/>
                <w:sz w:val="24"/>
                <w:highlight w:val="none"/>
                <w:lang w:val="en-US" w:eastAsia="zh-CN"/>
              </w:rPr>
              <w:t>大</w:t>
            </w:r>
            <w:r>
              <w:rPr>
                <w:rFonts w:hint="eastAsia" w:ascii="仿宋" w:hAnsi="仿宋" w:eastAsia="仿宋" w:cs="仿宋"/>
                <w:color w:val="000000"/>
                <w:kern w:val="0"/>
                <w:sz w:val="24"/>
                <w:highlight w:val="none"/>
              </w:rPr>
              <w:t>队</w:t>
            </w:r>
            <w:r>
              <w:rPr>
                <w:rFonts w:hint="eastAsia" w:ascii="仿宋" w:hAnsi="仿宋" w:eastAsia="仿宋" w:cs="仿宋"/>
                <w:color w:val="000000"/>
                <w:kern w:val="0"/>
                <w:sz w:val="24"/>
                <w:highlight w:val="none"/>
                <w:lang w:val="en-US" w:eastAsia="zh-CN"/>
              </w:rPr>
              <w:t>队长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李和平</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区水务局局长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孟志毅</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区</w:t>
            </w:r>
            <w:r>
              <w:rPr>
                <w:rFonts w:hint="eastAsia" w:ascii="仿宋" w:hAnsi="仿宋" w:eastAsia="仿宋" w:cs="仿宋"/>
                <w:color w:val="000000"/>
                <w:kern w:val="0"/>
                <w:sz w:val="24"/>
                <w:highlight w:val="none"/>
              </w:rPr>
              <w:t>市场监督管理局局长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武 军</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区住房和城乡建设局副局长</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贺瑞军</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区国动办主任</w:t>
            </w:r>
          </w:p>
        </w:tc>
      </w:tr>
      <w:tr>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李正禄</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区红十字会常务副会长</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王云柱</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小黑河镇镇长</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段海林</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昭君路街道办事处主任</w:t>
            </w:r>
          </w:p>
        </w:tc>
      </w:tr>
      <w:tr>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毕胜文</w:t>
            </w:r>
          </w:p>
        </w:tc>
        <w:tc>
          <w:tcPr>
            <w:tcW w:w="56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西菜园街道办事处主任</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付占华</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鄂尔多斯路街道办事处主任</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高德华</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大南街街道办事处主任</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韩  磊</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石东路街道办事处主任</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郭俊峰</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小召前街街道</w:t>
            </w:r>
            <w:r>
              <w:rPr>
                <w:rFonts w:hint="eastAsia" w:ascii="仿宋" w:hAnsi="仿宋" w:eastAsia="仿宋" w:cs="仿宋"/>
                <w:color w:val="000000"/>
                <w:kern w:val="0"/>
                <w:sz w:val="24"/>
                <w:highlight w:val="none"/>
              </w:rPr>
              <w:t>办事处主任</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吉  涛</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长和廊街道办事处主任</w:t>
            </w:r>
          </w:p>
        </w:tc>
      </w:tr>
      <w:tr>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李锦文</w:t>
            </w:r>
          </w:p>
        </w:tc>
        <w:tc>
          <w:tcPr>
            <w:tcW w:w="567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兴隆巷街道办事处主任</w:t>
            </w:r>
          </w:p>
        </w:tc>
      </w:tr>
      <w:tr>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nil"/>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巴特尔</w:t>
            </w:r>
          </w:p>
        </w:tc>
        <w:tc>
          <w:tcPr>
            <w:tcW w:w="5671"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云中路区域服务中心主任</w:t>
            </w:r>
          </w:p>
        </w:tc>
      </w:tr>
    </w:tbl>
    <w:p>
      <w:pPr>
        <w:pStyle w:val="2"/>
        <w:ind w:left="0" w:leftChars="0" w:firstLine="0" w:firstLineChars="0"/>
      </w:pPr>
    </w:p>
    <w:p>
      <w:pPr>
        <w:pStyle w:val="6"/>
        <w:sectPr>
          <w:footerReference r:id="rId12" w:type="default"/>
          <w:pgSz w:w="11906" w:h="16838"/>
          <w:pgMar w:top="2098" w:right="1474" w:bottom="1985" w:left="1588" w:header="851" w:footer="1701" w:gutter="170"/>
          <w:cols w:space="720" w:num="1"/>
          <w:docGrid w:type="lines" w:linePitch="442" w:charSpace="0"/>
        </w:sectPr>
      </w:pPr>
    </w:p>
    <w:bookmarkEnd w:id="327"/>
    <w:bookmarkEnd w:id="328"/>
    <w:p>
      <w:pPr>
        <w:pStyle w:val="9"/>
        <w:ind w:firstLine="640"/>
      </w:pPr>
      <w:bookmarkStart w:id="329" w:name="_Toc17071"/>
      <w:bookmarkStart w:id="330" w:name="_Toc8037"/>
      <w:bookmarkStart w:id="331" w:name="_Toc7305"/>
      <w:bookmarkStart w:id="332" w:name="_Toc2855"/>
      <w:r>
        <w:rPr>
          <w:rFonts w:hint="eastAsia"/>
        </w:rPr>
        <w:t>附件</w:t>
      </w:r>
      <w:r>
        <w:rPr>
          <w:rFonts w:hint="eastAsia"/>
          <w:lang w:val="en-US" w:eastAsia="zh-CN"/>
        </w:rPr>
        <w:t>5</w:t>
      </w:r>
      <w:r>
        <w:rPr>
          <w:rFonts w:hint="eastAsia"/>
        </w:rPr>
        <w:t>：有关应急部门联系方式</w:t>
      </w:r>
      <w:bookmarkEnd w:id="329"/>
      <w:bookmarkEnd w:id="330"/>
      <w:bookmarkEnd w:id="331"/>
      <w:bookmarkEnd w:id="332"/>
    </w:p>
    <w:tbl>
      <w:tblPr>
        <w:tblStyle w:val="20"/>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276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名   称</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联系电话</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内蒙古应急指挥中心</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0471-4826031</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内蒙古应急指挥部危险化学品指挥部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0471-4825125</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呼和浩特市总值班室</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0471-4606538</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呼和浩特市应急管理局</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0471-5169922</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玉泉区政府值班室</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0471-5200947</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玉泉区应急管理局</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0471-3825093</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呼和浩特市中燃城市发展有限公司</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w:t>
            </w:r>
            <w:r>
              <w:rPr>
                <w:rFonts w:ascii="仿宋" w:hAnsi="仿宋" w:eastAsia="仿宋" w:cs="仿宋"/>
                <w:color w:val="000000"/>
                <w:kern w:val="0"/>
                <w:sz w:val="24"/>
              </w:rPr>
              <w:t>3248119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公安</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燃气抢险</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96707</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供电抢修</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96266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供水抢修</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95598</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交警部门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122</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消防部门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呼和浩特市第一医院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0471-5281236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玉泉区红十字医院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0471-6305311</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武警医院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0471-3326500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内蒙古人民医院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0471-3283999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解放军969医院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0471-3495006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textAlignment w:val="center"/>
              <w:rPr>
                <w:rFonts w:ascii="仿宋" w:hAnsi="仿宋" w:eastAsia="仿宋" w:cs="仿宋"/>
                <w:color w:val="000000"/>
                <w:kern w:val="0"/>
                <w:sz w:val="24"/>
              </w:rPr>
            </w:pPr>
          </w:p>
        </w:tc>
      </w:tr>
    </w:tbl>
    <w:p>
      <w:pPr>
        <w:ind w:firstLine="640"/>
      </w:pPr>
    </w:p>
    <w:p>
      <w:pPr>
        <w:pStyle w:val="25"/>
        <w:ind w:firstLine="560"/>
        <w:rPr>
          <w:lang w:eastAsia="zh-CN"/>
        </w:rPr>
      </w:pPr>
    </w:p>
    <w:p>
      <w:pPr>
        <w:pStyle w:val="25"/>
        <w:ind w:firstLine="560"/>
        <w:rPr>
          <w:lang w:eastAsia="zh-CN"/>
        </w:rPr>
      </w:pPr>
    </w:p>
    <w:p>
      <w:pPr>
        <w:ind w:firstLine="0" w:firstLineChars="0"/>
        <w:rPr>
          <w:rFonts w:ascii="仿宋_GB2312" w:hAnsi="仿宋_GB2312" w:eastAsia="仿宋_GB2312" w:cs="仿宋_GB2312"/>
          <w:szCs w:val="32"/>
        </w:rPr>
      </w:pPr>
    </w:p>
    <w:p>
      <w:pPr>
        <w:ind w:firstLine="640"/>
      </w:pPr>
      <w:bookmarkStart w:id="333" w:name="_Toc12032"/>
      <w:bookmarkStart w:id="334" w:name="_Toc12198"/>
      <w:r>
        <w:rPr>
          <w:rFonts w:hint="eastAsia"/>
        </w:rPr>
        <w:br w:type="page"/>
      </w:r>
    </w:p>
    <w:p>
      <w:pPr>
        <w:pStyle w:val="9"/>
        <w:ind w:firstLine="640"/>
      </w:pPr>
      <w:bookmarkStart w:id="335" w:name="_Toc530"/>
      <w:bookmarkStart w:id="336" w:name="_Toc3530"/>
      <w:r>
        <w:rPr>
          <w:rFonts w:hint="eastAsia"/>
        </w:rPr>
        <w:t>附件</w:t>
      </w:r>
      <w:r>
        <w:rPr>
          <w:rFonts w:hint="eastAsia"/>
          <w:lang w:val="en-US" w:eastAsia="zh-CN"/>
        </w:rPr>
        <w:t>6</w:t>
      </w:r>
      <w:r>
        <w:rPr>
          <w:rFonts w:hint="eastAsia"/>
        </w:rPr>
        <w:t>：玉泉区应急物资配备表</w:t>
      </w:r>
      <w:bookmarkEnd w:id="333"/>
      <w:bookmarkEnd w:id="334"/>
      <w:bookmarkEnd w:id="335"/>
      <w:bookmarkEnd w:id="336"/>
    </w:p>
    <w:p>
      <w:pPr>
        <w:ind w:firstLine="0" w:firstLineChars="0"/>
        <w:rPr>
          <w:sz w:val="28"/>
          <w:szCs w:val="28"/>
        </w:rPr>
      </w:pPr>
      <w:bookmarkStart w:id="337" w:name="_Toc22288"/>
      <w:bookmarkStart w:id="338" w:name="_Toc6614"/>
      <w:bookmarkStart w:id="339" w:name="_Toc8073"/>
      <w:bookmarkStart w:id="340" w:name="_Toc26101"/>
      <w:r>
        <w:rPr>
          <w:rFonts w:hint="eastAsia"/>
          <w:sz w:val="28"/>
          <w:szCs w:val="28"/>
        </w:rPr>
        <w:t>存放地点：玉泉区消防救援队</w:t>
      </w:r>
      <w:bookmarkEnd w:id="337"/>
      <w:r>
        <w:rPr>
          <w:rFonts w:hint="eastAsia"/>
          <w:sz w:val="28"/>
          <w:szCs w:val="28"/>
        </w:rPr>
        <w:t xml:space="preserve">         调运人：</w:t>
      </w:r>
      <w:bookmarkEnd w:id="338"/>
      <w:bookmarkEnd w:id="339"/>
      <w:r>
        <w:rPr>
          <w:rFonts w:hint="eastAsia"/>
          <w:sz w:val="28"/>
          <w:szCs w:val="28"/>
        </w:rPr>
        <w:t>石爽</w:t>
      </w:r>
      <w:bookmarkEnd w:id="340"/>
    </w:p>
    <w:tbl>
      <w:tblPr>
        <w:tblStyle w:val="20"/>
        <w:tblW w:w="85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66"/>
        <w:gridCol w:w="2887"/>
        <w:gridCol w:w="11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装备名称（型号）</w:t>
            </w:r>
          </w:p>
        </w:tc>
        <w:tc>
          <w:tcPr>
            <w:tcW w:w="2887" w:type="dxa"/>
            <w:noWrap/>
            <w:vAlign w:val="center"/>
          </w:tcPr>
          <w:p>
            <w:pPr>
              <w:widowControl/>
              <w:spacing w:line="300" w:lineRule="exact"/>
              <w:ind w:firstLine="0" w:firstLineChars="0"/>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装备数量</w:t>
            </w:r>
          </w:p>
        </w:tc>
        <w:tc>
          <w:tcPr>
            <w:tcW w:w="1165" w:type="dxa"/>
            <w:noWrap/>
            <w:vAlign w:val="center"/>
          </w:tcPr>
          <w:p>
            <w:pPr>
              <w:widowControl/>
              <w:spacing w:line="300" w:lineRule="exact"/>
              <w:ind w:firstLine="0" w:firstLineChars="0"/>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水罐消防车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泡沫消防车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举高消防车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灭火救援手套</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抢险救援手套</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抢险救援头盔</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31</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佩戴式防爆照明灯（HBS4403）</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46</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空气呼吸器（PHZKF-6.8/30）</w:t>
            </w:r>
          </w:p>
        </w:tc>
        <w:tc>
          <w:tcPr>
            <w:tcW w:w="28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51</w:t>
            </w:r>
          </w:p>
        </w:tc>
        <w:tc>
          <w:tcPr>
            <w:tcW w:w="1165"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抢险救援腰带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方位灯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29</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阻燃头套</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118</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灭火防护服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57</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抢险救援靴</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绝缘靴</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16</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43</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安全绳</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护目镜</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腰斧</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58</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护膝</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呼救器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59</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灭火救援靴</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96（黑）66（黄）66</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灭火救援头盔</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63</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灭火救援腰带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59</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防静电内衣</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66</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侦检器材</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有毒气体探测仪(多功能6合一)</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可燃气体检测仪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红外热象仪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漏电探测仪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测温仪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警戒器材</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警戒杆</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隔离警示带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危险警示牌</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闪光警示灯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救生器材</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自救呼吸器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救生照明线</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折叠式担架</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多功能担架</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救生气垫</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缓降器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急救箱</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起重气垫</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救援三角架</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救生抛投器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水面漂浮绳</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橡皮舟</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破拆器材</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液压破拆工具组</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万向剪切钳</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机动链锯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无齿锯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手持式钢筋速断器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混凝土液压破拆工具组</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手动破拆工具组</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毁锁器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多功能挠钩</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绝缘剪断钳</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堵漏器材</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金属套管堵漏器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注入式堵漏</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黏贴式堵漏</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木质堵漏</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无火花工具</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照明排烟</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水驱动排烟机</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移动式排烟机</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移动照明灯组</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特种防护</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隔热服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避火服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二级化学防护服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一级化学防护服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电绝缘装具</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防静电服</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内置纯棉手套</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防高温手套</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防化手套</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二类吊带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三类吊带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防坠落辅助部件</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移动供气源</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正压式氧气呼吸器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专用救生衣</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手提式强光照明灯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降温背心</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荧光棒</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后场接收装具</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头骨振动通信装具</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防爆手持电台</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其他器材</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水幕水带</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多功能水枪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消防水带（65毫米）</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61</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消防水带（80毫米）</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移动消防炮</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直流开关水枪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无后座力水枪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自卫水枪</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分水器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手提式风力灭火机</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背负式风机</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灭火弹</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二号工具</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三号工具</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点火器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墙角保护器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移动式水带槽</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泡沫比例混合器</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二节拉梯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466"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单杠梯</w:t>
            </w:r>
          </w:p>
        </w:tc>
        <w:tc>
          <w:tcPr>
            <w:tcW w:w="28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165"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bl>
    <w:p>
      <w:pPr>
        <w:ind w:firstLine="560"/>
        <w:rPr>
          <w:rFonts w:ascii="Times New Roman" w:hAnsi="Times New Roman"/>
          <w:sz w:val="28"/>
          <w:szCs w:val="28"/>
        </w:rPr>
      </w:pPr>
    </w:p>
    <w:p>
      <w:pPr>
        <w:ind w:firstLine="0" w:firstLineChars="0"/>
        <w:rPr>
          <w:sz w:val="28"/>
          <w:szCs w:val="28"/>
        </w:rPr>
      </w:pPr>
      <w:bookmarkStart w:id="341" w:name="_Toc28294"/>
      <w:r>
        <w:rPr>
          <w:rFonts w:hint="eastAsia"/>
          <w:sz w:val="28"/>
          <w:szCs w:val="28"/>
        </w:rPr>
        <w:t>存放地点：玉泉区应急管理局          调用联系人：孙潇</w:t>
      </w:r>
      <w:bookmarkEnd w:id="341"/>
    </w:p>
    <w:tbl>
      <w:tblPr>
        <w:tblStyle w:val="20"/>
        <w:tblW w:w="83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19"/>
        <w:gridCol w:w="2593"/>
        <w:gridCol w:w="16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tblHeader/>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装备名称（型号）</w:t>
            </w:r>
          </w:p>
        </w:tc>
        <w:tc>
          <w:tcPr>
            <w:tcW w:w="2593" w:type="dxa"/>
            <w:noWrap/>
            <w:vAlign w:val="center"/>
          </w:tcPr>
          <w:p>
            <w:pPr>
              <w:widowControl/>
              <w:spacing w:line="300" w:lineRule="exact"/>
              <w:ind w:firstLine="0" w:firstLineChars="0"/>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装备数量</w:t>
            </w:r>
          </w:p>
        </w:tc>
        <w:tc>
          <w:tcPr>
            <w:tcW w:w="1687" w:type="dxa"/>
            <w:noWrap/>
            <w:vAlign w:val="center"/>
          </w:tcPr>
          <w:p>
            <w:pPr>
              <w:widowControl/>
              <w:spacing w:line="300" w:lineRule="exact"/>
              <w:ind w:firstLine="0" w:firstLineChars="0"/>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镐</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100把</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钳子</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4把</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铁锹（方）</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106把</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铁锹（圆）</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284把</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除雪铲</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10把</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消毒液</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3桶</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1"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水枪</w:t>
            </w:r>
          </w:p>
        </w:tc>
        <w:tc>
          <w:tcPr>
            <w:tcW w:w="2593"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6个</w:t>
            </w:r>
          </w:p>
        </w:tc>
        <w:tc>
          <w:tcPr>
            <w:tcW w:w="1687"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绳子</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28捆</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编织袋</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14000个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救生衣</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150件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两相发电机</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5台</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三相发电机</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6台</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无堵塞污水电泵</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11台（两相）</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三相抽水泵</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6台</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电线线圈</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电线</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7捆</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棉帽子</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棉手套</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13副</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手电</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2件（40个）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胶皮手套</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240副</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毛巾</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46条</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军用望远镜</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棉衣裤</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13套</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发电机</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两台</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警戒线</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30盘</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喊话器</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棉褥</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棉大衣</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被子</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5床</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太阳能警报手电</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38个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雨伞</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46把</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探照灯</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3个</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雨鞋</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12包</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雨衣</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12包</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1号水带</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14根</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2号水带</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31根</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3号水带</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6根</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水带</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共计51根</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绳子</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28捆</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水带卡扣</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19对</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作训大衣</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18件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冬作训服</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26套</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作训散件（冬）</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夏作训服</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66套</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夏作散件（夏）</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119" w:type="dxa"/>
            <w:noWrap/>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帽子（冬、夏）</w:t>
            </w:r>
          </w:p>
        </w:tc>
        <w:tc>
          <w:tcPr>
            <w:tcW w:w="2593"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（26、85）顶</w:t>
            </w:r>
          </w:p>
        </w:tc>
        <w:tc>
          <w:tcPr>
            <w:tcW w:w="1687" w:type="dxa"/>
            <w:vAlign w:val="center"/>
          </w:tcPr>
          <w:p>
            <w:pPr>
              <w:widowControl/>
              <w:spacing w:line="300" w:lineRule="exact"/>
              <w:ind w:firstLine="0" w:firstLineChars="0"/>
              <w:jc w:val="center"/>
              <w:textAlignment w:val="center"/>
              <w:rPr>
                <w:rFonts w:ascii="宋体" w:hAnsi="宋体" w:eastAsia="宋体" w:cs="宋体"/>
                <w:color w:val="000000"/>
                <w:kern w:val="0"/>
                <w:sz w:val="24"/>
                <w:lang w:bidi="ar"/>
              </w:rPr>
            </w:pPr>
          </w:p>
        </w:tc>
      </w:tr>
    </w:tbl>
    <w:p>
      <w:pPr>
        <w:ind w:firstLine="420"/>
      </w:pPr>
    </w:p>
    <w:p>
      <w:r>
        <w:br w:type="page"/>
      </w:r>
    </w:p>
    <w:p>
      <w:pPr>
        <w:pStyle w:val="9"/>
        <w:ind w:firstLine="640"/>
        <w:rPr>
          <w:rFonts w:hint="eastAsia" w:ascii="Times New Roman" w:hAnsi="Times New Roman" w:cs="Times New Roman"/>
          <w:lang w:val="en-US" w:eastAsia="zh-CN"/>
        </w:rPr>
      </w:pPr>
      <w:bookmarkStart w:id="342" w:name="_Toc1231"/>
      <w:r>
        <w:rPr>
          <w:rFonts w:hint="eastAsia" w:ascii="Times New Roman" w:hAnsi="Times New Roman" w:cs="Times New Roman"/>
          <w:lang w:val="en-US" w:eastAsia="zh-CN"/>
        </w:rPr>
        <w:t>附件7：应急队伍情况</w:t>
      </w:r>
      <w:bookmarkEnd w:id="342"/>
    </w:p>
    <w:tbl>
      <w:tblPr>
        <w:tblStyle w:val="21"/>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18"/>
        <w:gridCol w:w="2736"/>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黑体" w:hAnsi="黑体" w:eastAsia="黑体" w:cs="黑体"/>
                <w:b/>
                <w:bCs/>
                <w:kern w:val="2"/>
                <w:sz w:val="28"/>
                <w:szCs w:val="18"/>
                <w:lang w:val="en-US" w:eastAsia="zh-CN"/>
              </w:rPr>
            </w:pPr>
            <w:r>
              <w:rPr>
                <w:rFonts w:hint="eastAsia" w:ascii="黑体" w:hAnsi="黑体" w:eastAsia="黑体" w:cs="黑体"/>
                <w:b/>
                <w:bCs/>
                <w:kern w:val="2"/>
                <w:sz w:val="28"/>
                <w:szCs w:val="18"/>
                <w:lang w:val="en-US" w:eastAsia="zh-CN"/>
              </w:rPr>
              <w:t>序号</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黑体" w:hAnsi="黑体" w:eastAsia="黑体" w:cs="黑体"/>
                <w:b/>
                <w:bCs/>
                <w:kern w:val="2"/>
                <w:sz w:val="28"/>
                <w:szCs w:val="18"/>
                <w:lang w:val="en-US" w:eastAsia="zh-CN"/>
              </w:rPr>
            </w:pPr>
            <w:r>
              <w:rPr>
                <w:rFonts w:hint="eastAsia" w:ascii="黑体" w:hAnsi="黑体" w:eastAsia="黑体" w:cs="黑体"/>
                <w:b/>
                <w:bCs/>
                <w:kern w:val="2"/>
                <w:sz w:val="28"/>
                <w:szCs w:val="18"/>
                <w:lang w:val="en-US" w:eastAsia="zh-CN"/>
              </w:rPr>
              <w:t>队伍名称</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黑体" w:hAnsi="黑体" w:eastAsia="黑体" w:cs="黑体"/>
                <w:b/>
                <w:bCs/>
                <w:kern w:val="2"/>
                <w:sz w:val="28"/>
                <w:szCs w:val="18"/>
                <w:lang w:val="en-US" w:eastAsia="zh-CN"/>
              </w:rPr>
            </w:pPr>
            <w:r>
              <w:rPr>
                <w:rFonts w:hint="eastAsia" w:ascii="黑体" w:hAnsi="黑体" w:eastAsia="黑体" w:cs="黑体"/>
                <w:b/>
                <w:bCs/>
                <w:kern w:val="2"/>
                <w:sz w:val="28"/>
                <w:szCs w:val="18"/>
                <w:lang w:val="en-US" w:eastAsia="zh-CN"/>
              </w:rPr>
              <w:t>地址</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黑体" w:hAnsi="黑体" w:eastAsia="黑体" w:cs="黑体"/>
                <w:b/>
                <w:bCs/>
                <w:kern w:val="2"/>
                <w:sz w:val="28"/>
                <w:szCs w:val="18"/>
                <w:lang w:val="en-US" w:eastAsia="zh-CN"/>
              </w:rPr>
            </w:pPr>
            <w:r>
              <w:rPr>
                <w:rFonts w:hint="eastAsia" w:ascii="黑体" w:hAnsi="黑体" w:eastAsia="黑体" w:cs="黑体"/>
                <w:b/>
                <w:bCs/>
                <w:kern w:val="2"/>
                <w:sz w:val="28"/>
                <w:szCs w:val="18"/>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内蒙古民间户外救援协会应急救援队</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内蒙古呼和浩特市中山东路22号</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内蒙古自驾游户外运动协会应急救援队</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呼和浩特市新城区海东路劳动花园8号</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贾春光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呼和浩特市蓝天救援服务队</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呼和浩特市回民区乌素图地震基准台</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谢队长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内蒙古阜丰生物科技有限企业应急救援队</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呼和浩特市经济技术开发区金川区经二路</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唐保林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5</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齐鲁制药（内蒙古）有限公司企业应急救援队</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呼和浩特市经济技术开发区金川南区纬四路2号</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张德营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6</w:t>
            </w:r>
          </w:p>
        </w:tc>
        <w:tc>
          <w:tcPr>
            <w:tcW w:w="1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内蒙古草原红太阳食品股份有限公司企业应急救援队</w:t>
            </w:r>
          </w:p>
        </w:tc>
        <w:tc>
          <w:tcPr>
            <w:tcW w:w="273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呼和浩特裕隆工业园C区15号</w:t>
            </w:r>
          </w:p>
        </w:tc>
        <w:tc>
          <w:tcPr>
            <w:tcW w:w="276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于文俊</w:t>
            </w:r>
          </w:p>
        </w:tc>
      </w:tr>
    </w:tbl>
    <w:p>
      <w:pPr>
        <w:pStyle w:val="25"/>
        <w:rPr>
          <w:rFonts w:hint="default"/>
          <w:lang w:val="en-US" w:eastAsia="zh-CN"/>
        </w:rPr>
      </w:pPr>
    </w:p>
    <w:p>
      <w:pPr>
        <w:ind w:left="0" w:leftChars="0" w:firstLine="0" w:firstLineChars="0"/>
        <w:rPr>
          <w:rFonts w:hint="eastAsia" w:ascii="Times New Roman" w:hAnsi="Times New Roman" w:cs="Times New Roman"/>
          <w:lang w:val="en-US" w:eastAsia="zh-CN"/>
        </w:rPr>
      </w:pPr>
    </w:p>
    <w:p>
      <w:pPr>
        <w:ind w:left="0" w:leftChars="0" w:firstLine="0" w:firstLineChars="0"/>
        <w:rPr>
          <w:rFonts w:hint="eastAsia" w:ascii="Times New Roman" w:hAnsi="Times New Roman" w:cs="Times New Roman"/>
          <w:lang w:val="en-US" w:eastAsia="zh-CN"/>
        </w:rPr>
      </w:pPr>
    </w:p>
    <w:p>
      <w:pPr>
        <w:ind w:left="0" w:leftChars="0" w:firstLine="0" w:firstLineChars="0"/>
        <w:rPr>
          <w:rFonts w:hint="eastAsia" w:ascii="Times New Roman" w:hAnsi="Times New Roman" w:cs="Times New Roman"/>
          <w:lang w:val="en-US" w:eastAsia="zh-CN"/>
        </w:rPr>
      </w:pPr>
    </w:p>
    <w:p>
      <w:pPr>
        <w:ind w:left="0" w:leftChars="0" w:firstLine="0" w:firstLineChars="0"/>
        <w:rPr>
          <w:rFonts w:hint="eastAsia" w:ascii="Times New Roman" w:hAnsi="Times New Roman" w:cs="Times New Roman"/>
          <w:lang w:val="en-US" w:eastAsia="zh-CN"/>
        </w:rPr>
        <w:sectPr>
          <w:footerReference r:id="rId13" w:type="default"/>
          <w:pgSz w:w="11906" w:h="16838"/>
          <w:pgMar w:top="1440" w:right="1800" w:bottom="1440" w:left="1800" w:header="851" w:footer="992" w:gutter="0"/>
          <w:cols w:space="425" w:num="1"/>
          <w:docGrid w:type="lines" w:linePitch="312" w:charSpace="0"/>
        </w:sectPr>
      </w:pPr>
    </w:p>
    <w:p>
      <w:pPr>
        <w:pStyle w:val="9"/>
        <w:ind w:firstLine="640"/>
        <w:rPr>
          <w:rFonts w:hint="eastAsia" w:ascii="Times New Roman" w:hAnsi="Times New Roman" w:cs="Times New Roman"/>
          <w:lang w:val="en-US" w:eastAsia="zh-CN"/>
        </w:rPr>
      </w:pPr>
      <w:bookmarkStart w:id="343" w:name="_Toc13179"/>
      <w:r>
        <w:rPr>
          <w:rFonts w:hint="eastAsia" w:ascii="Times New Roman" w:hAnsi="Times New Roman" w:cs="Times New Roman"/>
          <w:lang w:val="en-US" w:eastAsia="zh-CN"/>
        </w:rPr>
        <w:t>附件8：玉泉区森林草原相关图纸</w:t>
      </w:r>
      <w:bookmarkEnd w:id="343"/>
    </w:p>
    <w:p>
      <w:pPr>
        <w:pStyle w:val="25"/>
        <w:spacing w:line="240" w:lineRule="auto"/>
        <w:ind w:left="0" w:leftChars="0" w:firstLine="0" w:firstLineChars="0"/>
        <w:jc w:val="center"/>
        <w:rPr>
          <w:rFonts w:hint="eastAsia"/>
          <w:lang w:val="en-US" w:eastAsia="zh-CN"/>
        </w:rPr>
      </w:pPr>
      <w:r>
        <w:rPr>
          <w:rFonts w:hint="eastAsia"/>
          <w:lang w:val="en-US" w:eastAsia="zh-CN"/>
        </w:rPr>
        <w:drawing>
          <wp:inline distT="0" distB="0" distL="114300" distR="114300">
            <wp:extent cx="7787640" cy="4721860"/>
            <wp:effectExtent l="0" t="0" r="3810" b="2540"/>
            <wp:docPr id="4" name="图片 3" descr="地理位置示意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descr="地理位置示意图"/>
                    <pic:cNvPicPr>
                      <a:picLocks noChangeAspect="true"/>
                    </pic:cNvPicPr>
                  </pic:nvPicPr>
                  <pic:blipFill>
                    <a:blip r:embed="rId17"/>
                    <a:srcRect l="4012" t="3565" r="1131" b="4761"/>
                    <a:stretch>
                      <a:fillRect/>
                    </a:stretch>
                  </pic:blipFill>
                  <pic:spPr>
                    <a:xfrm>
                      <a:off x="0" y="0"/>
                      <a:ext cx="7787640" cy="4721860"/>
                    </a:xfrm>
                    <a:prstGeom prst="rect">
                      <a:avLst/>
                    </a:prstGeom>
                    <a:noFill/>
                    <a:ln>
                      <a:noFill/>
                    </a:ln>
                  </pic:spPr>
                </pic:pic>
              </a:graphicData>
            </a:graphic>
          </wp:inline>
        </w:drawing>
      </w:r>
    </w:p>
    <w:p>
      <w:pPr>
        <w:pStyle w:val="25"/>
        <w:spacing w:line="240" w:lineRule="auto"/>
        <w:ind w:left="0" w:leftChars="0" w:firstLine="0" w:firstLineChars="0"/>
        <w:rPr>
          <w:rFonts w:hint="eastAsia"/>
          <w:lang w:val="en-US" w:eastAsia="zh-CN"/>
        </w:rPr>
      </w:pPr>
      <w:r>
        <w:rPr>
          <w:rFonts w:hint="eastAsia"/>
          <w:lang w:val="en-US" w:eastAsia="zh-CN"/>
        </w:rPr>
        <w:drawing>
          <wp:inline distT="0" distB="0" distL="114300" distR="114300">
            <wp:extent cx="8814435" cy="5168265"/>
            <wp:effectExtent l="0" t="0" r="0" b="0"/>
            <wp:docPr id="5" name="图片 4" descr="玉泉区森林草原资源分布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玉泉区森林草原资源分布图"/>
                    <pic:cNvPicPr>
                      <a:picLocks noChangeAspect="true"/>
                    </pic:cNvPicPr>
                  </pic:nvPicPr>
                  <pic:blipFill>
                    <a:blip r:embed="rId18"/>
                    <a:srcRect l="1300" t="6134" r="1166" b="2086"/>
                    <a:stretch>
                      <a:fillRect/>
                    </a:stretch>
                  </pic:blipFill>
                  <pic:spPr>
                    <a:xfrm>
                      <a:off x="0" y="0"/>
                      <a:ext cx="8814435" cy="5168265"/>
                    </a:xfrm>
                    <a:prstGeom prst="rect">
                      <a:avLst/>
                    </a:prstGeom>
                    <a:noFill/>
                    <a:ln>
                      <a:noFill/>
                    </a:ln>
                  </pic:spPr>
                </pic:pic>
              </a:graphicData>
            </a:graphic>
          </wp:inline>
        </w:drawing>
      </w:r>
    </w:p>
    <w:p>
      <w:pPr>
        <w:pStyle w:val="25"/>
        <w:spacing w:line="240" w:lineRule="auto"/>
        <w:ind w:left="0" w:leftChars="0" w:firstLine="0" w:firstLineChars="0"/>
        <w:rPr>
          <w:rFonts w:hint="eastAsia"/>
          <w:lang w:val="en-US" w:eastAsia="zh-CN"/>
        </w:rPr>
      </w:pPr>
      <w:r>
        <w:rPr>
          <w:rFonts w:hint="eastAsia"/>
          <w:lang w:val="en-US" w:eastAsia="zh-CN"/>
        </w:rPr>
        <w:drawing>
          <wp:inline distT="0" distB="0" distL="114300" distR="114300">
            <wp:extent cx="8837295" cy="5253355"/>
            <wp:effectExtent l="0" t="0" r="0" b="0"/>
            <wp:docPr id="6" name="图片 5" descr="玉泉区森林资源分布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descr="玉泉区森林资源分布图"/>
                    <pic:cNvPicPr>
                      <a:picLocks noChangeAspect="true"/>
                    </pic:cNvPicPr>
                  </pic:nvPicPr>
                  <pic:blipFill>
                    <a:blip r:embed="rId19"/>
                    <a:srcRect l="1418" t="5809" r="1369" b="1600"/>
                    <a:stretch>
                      <a:fillRect/>
                    </a:stretch>
                  </pic:blipFill>
                  <pic:spPr>
                    <a:xfrm>
                      <a:off x="0" y="0"/>
                      <a:ext cx="8837295" cy="5253355"/>
                    </a:xfrm>
                    <a:prstGeom prst="rect">
                      <a:avLst/>
                    </a:prstGeom>
                    <a:noFill/>
                    <a:ln>
                      <a:noFill/>
                    </a:ln>
                  </pic:spPr>
                </pic:pic>
              </a:graphicData>
            </a:graphic>
          </wp:inline>
        </w:drawing>
      </w:r>
    </w:p>
    <w:p>
      <w:pPr>
        <w:pStyle w:val="25"/>
        <w:spacing w:line="240" w:lineRule="auto"/>
        <w:ind w:left="0" w:leftChars="0" w:firstLine="0" w:firstLineChars="0"/>
        <w:rPr>
          <w:rFonts w:hint="default"/>
          <w:lang w:val="en-US" w:eastAsia="zh-CN"/>
        </w:rPr>
      </w:pPr>
      <w:r>
        <w:rPr>
          <w:rFonts w:hint="eastAsia"/>
          <w:lang w:val="en-US" w:eastAsia="zh-CN"/>
        </w:rPr>
        <w:drawing>
          <wp:inline distT="0" distB="0" distL="114300" distR="114300">
            <wp:extent cx="9027160" cy="5164455"/>
            <wp:effectExtent l="0" t="0" r="2540" b="17145"/>
            <wp:docPr id="7" name="图片 6" descr="玉泉区草原资源分布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descr="玉泉区草原资源分布图"/>
                    <pic:cNvPicPr>
                      <a:picLocks noChangeAspect="true"/>
                    </pic:cNvPicPr>
                  </pic:nvPicPr>
                  <pic:blipFill>
                    <a:blip r:embed="rId20"/>
                    <a:srcRect l="1417" t="5785" r="1292" b="1603"/>
                    <a:stretch>
                      <a:fillRect/>
                    </a:stretch>
                  </pic:blipFill>
                  <pic:spPr>
                    <a:xfrm>
                      <a:off x="0" y="0"/>
                      <a:ext cx="9027160" cy="5164455"/>
                    </a:xfrm>
                    <a:prstGeom prst="rect">
                      <a:avLst/>
                    </a:prstGeom>
                    <a:noFill/>
                    <a:ln>
                      <a:noFill/>
                    </a:ln>
                  </pic:spPr>
                </pic:pic>
              </a:graphicData>
            </a:graphic>
          </wp:inline>
        </w:drawing>
      </w:r>
      <w:r>
        <w:rPr>
          <w:rFonts w:hint="eastAsia"/>
          <w:lang w:val="en-US" w:eastAsia="zh-CN"/>
        </w:rPr>
        <w:drawing>
          <wp:inline distT="0" distB="0" distL="114300" distR="114300">
            <wp:extent cx="8651875" cy="5213985"/>
            <wp:effectExtent l="0" t="0" r="0" b="0"/>
            <wp:docPr id="1" name="图片 1" descr="玉泉区草原火险级别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玉泉区草原火险级别图"/>
                    <pic:cNvPicPr>
                      <a:picLocks noChangeAspect="true"/>
                    </pic:cNvPicPr>
                  </pic:nvPicPr>
                  <pic:blipFill>
                    <a:blip r:embed="rId21"/>
                    <a:srcRect l="1452" t="5914" r="1088" b="1725"/>
                    <a:stretch>
                      <a:fillRect/>
                    </a:stretch>
                  </pic:blipFill>
                  <pic:spPr>
                    <a:xfrm>
                      <a:off x="0" y="0"/>
                      <a:ext cx="8651875" cy="5213985"/>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幼圆">
    <w:altName w:val="汉仪中宋简"/>
    <w:panose1 w:val="02010509060101010101"/>
    <w:charset w:val="86"/>
    <w:family w:val="roman"/>
    <w:pitch w:val=""/>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441"/>
      <w:rPr>
        <w:b/>
        <w:spacing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YjQ0NzU4MGE0OTU1YTgwMGJkODFjMTFkZTY5YTEifQ=="/>
  </w:docVars>
  <w:rsids>
    <w:rsidRoot w:val="2FE51A55"/>
    <w:rsid w:val="001D54C7"/>
    <w:rsid w:val="004B44F1"/>
    <w:rsid w:val="00687D8B"/>
    <w:rsid w:val="006E05BE"/>
    <w:rsid w:val="008506D2"/>
    <w:rsid w:val="00B32474"/>
    <w:rsid w:val="00C42E83"/>
    <w:rsid w:val="00DC66AA"/>
    <w:rsid w:val="00F864C8"/>
    <w:rsid w:val="016C4564"/>
    <w:rsid w:val="025D1A54"/>
    <w:rsid w:val="0281282A"/>
    <w:rsid w:val="02C31095"/>
    <w:rsid w:val="02FD6AF8"/>
    <w:rsid w:val="03125B78"/>
    <w:rsid w:val="03DD70FF"/>
    <w:rsid w:val="03F940D8"/>
    <w:rsid w:val="041F4471"/>
    <w:rsid w:val="047A1C27"/>
    <w:rsid w:val="049A5D51"/>
    <w:rsid w:val="04DD0DAC"/>
    <w:rsid w:val="04FC43EA"/>
    <w:rsid w:val="050F6813"/>
    <w:rsid w:val="0515478C"/>
    <w:rsid w:val="051E69AD"/>
    <w:rsid w:val="05526CCF"/>
    <w:rsid w:val="06542403"/>
    <w:rsid w:val="06BC71B9"/>
    <w:rsid w:val="06D87CEE"/>
    <w:rsid w:val="06E65FB7"/>
    <w:rsid w:val="06EE2458"/>
    <w:rsid w:val="074A2D50"/>
    <w:rsid w:val="075D0DEF"/>
    <w:rsid w:val="077A10F2"/>
    <w:rsid w:val="07A0163F"/>
    <w:rsid w:val="07CA59C1"/>
    <w:rsid w:val="0806181C"/>
    <w:rsid w:val="08274565"/>
    <w:rsid w:val="08A34513"/>
    <w:rsid w:val="08B651F8"/>
    <w:rsid w:val="08ED11DE"/>
    <w:rsid w:val="09A514F4"/>
    <w:rsid w:val="0A1B5312"/>
    <w:rsid w:val="0A48552D"/>
    <w:rsid w:val="0AA679E8"/>
    <w:rsid w:val="0ACB257E"/>
    <w:rsid w:val="0AEB73DB"/>
    <w:rsid w:val="0AF34CBF"/>
    <w:rsid w:val="0B901D30"/>
    <w:rsid w:val="0BA1555E"/>
    <w:rsid w:val="0BF422BF"/>
    <w:rsid w:val="0C661D27"/>
    <w:rsid w:val="0CB90E13"/>
    <w:rsid w:val="0DCF7841"/>
    <w:rsid w:val="0DEF4D3D"/>
    <w:rsid w:val="0FA027C1"/>
    <w:rsid w:val="0FCE7D82"/>
    <w:rsid w:val="103A5F34"/>
    <w:rsid w:val="109F5871"/>
    <w:rsid w:val="10E36CBF"/>
    <w:rsid w:val="1124113D"/>
    <w:rsid w:val="117B0D8C"/>
    <w:rsid w:val="11AE5023"/>
    <w:rsid w:val="11FB44A3"/>
    <w:rsid w:val="1213018A"/>
    <w:rsid w:val="1285393D"/>
    <w:rsid w:val="12A12BE9"/>
    <w:rsid w:val="12CC5D44"/>
    <w:rsid w:val="12FE5D3A"/>
    <w:rsid w:val="138F2051"/>
    <w:rsid w:val="139B37E4"/>
    <w:rsid w:val="14404C2E"/>
    <w:rsid w:val="1456736E"/>
    <w:rsid w:val="149F6365"/>
    <w:rsid w:val="14F0793F"/>
    <w:rsid w:val="15377B2C"/>
    <w:rsid w:val="154D0C92"/>
    <w:rsid w:val="15802E15"/>
    <w:rsid w:val="158F0650"/>
    <w:rsid w:val="15A703D6"/>
    <w:rsid w:val="160126AE"/>
    <w:rsid w:val="162C1AC8"/>
    <w:rsid w:val="1638549E"/>
    <w:rsid w:val="165C5F4E"/>
    <w:rsid w:val="168A350F"/>
    <w:rsid w:val="16D63BE4"/>
    <w:rsid w:val="16E861BB"/>
    <w:rsid w:val="1774709D"/>
    <w:rsid w:val="17F01321"/>
    <w:rsid w:val="17F833FC"/>
    <w:rsid w:val="192004B7"/>
    <w:rsid w:val="196514CE"/>
    <w:rsid w:val="19856C4C"/>
    <w:rsid w:val="19B72B7E"/>
    <w:rsid w:val="19F45B80"/>
    <w:rsid w:val="1A356072"/>
    <w:rsid w:val="1A607A23"/>
    <w:rsid w:val="1A8B64E4"/>
    <w:rsid w:val="1AED4AA9"/>
    <w:rsid w:val="1B634D6B"/>
    <w:rsid w:val="1BC459F6"/>
    <w:rsid w:val="1C311E7A"/>
    <w:rsid w:val="1C8C02F2"/>
    <w:rsid w:val="1CA507C5"/>
    <w:rsid w:val="1CA710ED"/>
    <w:rsid w:val="1CFF0DCC"/>
    <w:rsid w:val="1D475A0F"/>
    <w:rsid w:val="1D9C75D9"/>
    <w:rsid w:val="1DD37CB7"/>
    <w:rsid w:val="1DE05B38"/>
    <w:rsid w:val="1DF13926"/>
    <w:rsid w:val="1E4A0464"/>
    <w:rsid w:val="1E554638"/>
    <w:rsid w:val="1E5E0DA6"/>
    <w:rsid w:val="1EDB3684"/>
    <w:rsid w:val="1EE73F05"/>
    <w:rsid w:val="1F3515CC"/>
    <w:rsid w:val="203A7355"/>
    <w:rsid w:val="20B21E9C"/>
    <w:rsid w:val="21B21712"/>
    <w:rsid w:val="21D275E3"/>
    <w:rsid w:val="225F407A"/>
    <w:rsid w:val="226118D9"/>
    <w:rsid w:val="22837AA1"/>
    <w:rsid w:val="229C5438"/>
    <w:rsid w:val="22CA7187"/>
    <w:rsid w:val="22E85D78"/>
    <w:rsid w:val="231C7A73"/>
    <w:rsid w:val="232574DC"/>
    <w:rsid w:val="2367501F"/>
    <w:rsid w:val="23713D9D"/>
    <w:rsid w:val="237C10C0"/>
    <w:rsid w:val="24217571"/>
    <w:rsid w:val="2535309C"/>
    <w:rsid w:val="25537442"/>
    <w:rsid w:val="25836F36"/>
    <w:rsid w:val="26040EF9"/>
    <w:rsid w:val="26794A16"/>
    <w:rsid w:val="277E52F6"/>
    <w:rsid w:val="279F35CF"/>
    <w:rsid w:val="27A97FAA"/>
    <w:rsid w:val="27E159F9"/>
    <w:rsid w:val="27EB05C2"/>
    <w:rsid w:val="27F06AC5"/>
    <w:rsid w:val="281E37F0"/>
    <w:rsid w:val="287D7D0C"/>
    <w:rsid w:val="292B1F49"/>
    <w:rsid w:val="293146FB"/>
    <w:rsid w:val="295E02E6"/>
    <w:rsid w:val="29712D49"/>
    <w:rsid w:val="298005F8"/>
    <w:rsid w:val="298F4F7D"/>
    <w:rsid w:val="2A394A68"/>
    <w:rsid w:val="2AA368F4"/>
    <w:rsid w:val="2B6300C5"/>
    <w:rsid w:val="2B7F799F"/>
    <w:rsid w:val="2B8054C5"/>
    <w:rsid w:val="2B8534D0"/>
    <w:rsid w:val="2C351E0C"/>
    <w:rsid w:val="2C9D06E4"/>
    <w:rsid w:val="2CAA7CB9"/>
    <w:rsid w:val="2D177764"/>
    <w:rsid w:val="2D393B7E"/>
    <w:rsid w:val="2E26368F"/>
    <w:rsid w:val="2E3F7863"/>
    <w:rsid w:val="2EA414CB"/>
    <w:rsid w:val="2ECD413A"/>
    <w:rsid w:val="2EEE0998"/>
    <w:rsid w:val="2FB67671"/>
    <w:rsid w:val="2FE51A55"/>
    <w:rsid w:val="302157E1"/>
    <w:rsid w:val="303F66E2"/>
    <w:rsid w:val="305E7C77"/>
    <w:rsid w:val="3068340E"/>
    <w:rsid w:val="307B7E39"/>
    <w:rsid w:val="30E06A2F"/>
    <w:rsid w:val="31480833"/>
    <w:rsid w:val="318525B2"/>
    <w:rsid w:val="31DD6119"/>
    <w:rsid w:val="32183566"/>
    <w:rsid w:val="325B6344"/>
    <w:rsid w:val="33772B88"/>
    <w:rsid w:val="33A0020E"/>
    <w:rsid w:val="33A15FD9"/>
    <w:rsid w:val="33B26B54"/>
    <w:rsid w:val="33D55B50"/>
    <w:rsid w:val="34026F59"/>
    <w:rsid w:val="340C5F43"/>
    <w:rsid w:val="34EC597A"/>
    <w:rsid w:val="35632145"/>
    <w:rsid w:val="35BB0799"/>
    <w:rsid w:val="365D08DD"/>
    <w:rsid w:val="36972F00"/>
    <w:rsid w:val="36DB7A54"/>
    <w:rsid w:val="36F105E9"/>
    <w:rsid w:val="373A08FC"/>
    <w:rsid w:val="37C32565"/>
    <w:rsid w:val="382F0A25"/>
    <w:rsid w:val="383813C8"/>
    <w:rsid w:val="385A322E"/>
    <w:rsid w:val="390E4BCD"/>
    <w:rsid w:val="39286D7F"/>
    <w:rsid w:val="394025EC"/>
    <w:rsid w:val="39892957"/>
    <w:rsid w:val="39BA659F"/>
    <w:rsid w:val="3A104CD2"/>
    <w:rsid w:val="3A9029B4"/>
    <w:rsid w:val="3B1E1B4C"/>
    <w:rsid w:val="3B6E70E8"/>
    <w:rsid w:val="3B862684"/>
    <w:rsid w:val="3B890EF9"/>
    <w:rsid w:val="3C636521"/>
    <w:rsid w:val="3CC32762"/>
    <w:rsid w:val="3DF809D3"/>
    <w:rsid w:val="3E3A4290"/>
    <w:rsid w:val="3E5D5140"/>
    <w:rsid w:val="3E6F38A3"/>
    <w:rsid w:val="3E9D2417"/>
    <w:rsid w:val="3EDA2672"/>
    <w:rsid w:val="3F2566A2"/>
    <w:rsid w:val="3F9D1D4A"/>
    <w:rsid w:val="3FE7786E"/>
    <w:rsid w:val="405771F1"/>
    <w:rsid w:val="40A52D6B"/>
    <w:rsid w:val="40A725C8"/>
    <w:rsid w:val="40D142B3"/>
    <w:rsid w:val="40E273FB"/>
    <w:rsid w:val="42364CE5"/>
    <w:rsid w:val="43E554DB"/>
    <w:rsid w:val="447A5F85"/>
    <w:rsid w:val="44AD6DEF"/>
    <w:rsid w:val="44B41B7B"/>
    <w:rsid w:val="452F0BB7"/>
    <w:rsid w:val="46326F64"/>
    <w:rsid w:val="46D01567"/>
    <w:rsid w:val="46F96C04"/>
    <w:rsid w:val="4716385A"/>
    <w:rsid w:val="471C2FF1"/>
    <w:rsid w:val="47283015"/>
    <w:rsid w:val="476E03C5"/>
    <w:rsid w:val="47B562E3"/>
    <w:rsid w:val="482374AD"/>
    <w:rsid w:val="482C3DC2"/>
    <w:rsid w:val="486A0C38"/>
    <w:rsid w:val="49004CBF"/>
    <w:rsid w:val="490868D4"/>
    <w:rsid w:val="492B1B45"/>
    <w:rsid w:val="49E8450A"/>
    <w:rsid w:val="49F46049"/>
    <w:rsid w:val="4A371FA0"/>
    <w:rsid w:val="4AE37785"/>
    <w:rsid w:val="4B2322EC"/>
    <w:rsid w:val="4B993292"/>
    <w:rsid w:val="4B9B4DE5"/>
    <w:rsid w:val="4BB46D99"/>
    <w:rsid w:val="4C9170DB"/>
    <w:rsid w:val="4D2475FE"/>
    <w:rsid w:val="4D5719B3"/>
    <w:rsid w:val="4D7455FD"/>
    <w:rsid w:val="4E684E78"/>
    <w:rsid w:val="4E86609F"/>
    <w:rsid w:val="4E89214C"/>
    <w:rsid w:val="4EA728BF"/>
    <w:rsid w:val="4EBA2446"/>
    <w:rsid w:val="4F2204BE"/>
    <w:rsid w:val="4F2D0814"/>
    <w:rsid w:val="50056699"/>
    <w:rsid w:val="502618E8"/>
    <w:rsid w:val="5072299A"/>
    <w:rsid w:val="507B29B3"/>
    <w:rsid w:val="50FF3888"/>
    <w:rsid w:val="51706032"/>
    <w:rsid w:val="51EA0B55"/>
    <w:rsid w:val="52BE4C53"/>
    <w:rsid w:val="52FA01B4"/>
    <w:rsid w:val="53C25DCC"/>
    <w:rsid w:val="540D56D8"/>
    <w:rsid w:val="548C0661"/>
    <w:rsid w:val="54DC19FC"/>
    <w:rsid w:val="555C53DB"/>
    <w:rsid w:val="56036324"/>
    <w:rsid w:val="561C3E24"/>
    <w:rsid w:val="566832A7"/>
    <w:rsid w:val="567D13ED"/>
    <w:rsid w:val="570C0F09"/>
    <w:rsid w:val="578E72E4"/>
    <w:rsid w:val="57B7116A"/>
    <w:rsid w:val="583D1F2E"/>
    <w:rsid w:val="58B2640F"/>
    <w:rsid w:val="58C94220"/>
    <w:rsid w:val="59152EC2"/>
    <w:rsid w:val="5A210542"/>
    <w:rsid w:val="5A431808"/>
    <w:rsid w:val="5A4A559B"/>
    <w:rsid w:val="5AAD3CDF"/>
    <w:rsid w:val="5B400021"/>
    <w:rsid w:val="5B4810B2"/>
    <w:rsid w:val="5BAE1E64"/>
    <w:rsid w:val="5BDE7B48"/>
    <w:rsid w:val="5BFA2B5E"/>
    <w:rsid w:val="5C7D4918"/>
    <w:rsid w:val="5CAC724A"/>
    <w:rsid w:val="5CF3129E"/>
    <w:rsid w:val="5D0956C9"/>
    <w:rsid w:val="5D46567B"/>
    <w:rsid w:val="5D54208C"/>
    <w:rsid w:val="5D610403"/>
    <w:rsid w:val="5D841F6A"/>
    <w:rsid w:val="5D88268C"/>
    <w:rsid w:val="5DA763DA"/>
    <w:rsid w:val="5E547F68"/>
    <w:rsid w:val="5E7774EE"/>
    <w:rsid w:val="5F3763BC"/>
    <w:rsid w:val="5F4A3275"/>
    <w:rsid w:val="5FAD59BB"/>
    <w:rsid w:val="5FD70E1E"/>
    <w:rsid w:val="5FFE462F"/>
    <w:rsid w:val="601E6FF3"/>
    <w:rsid w:val="60A93978"/>
    <w:rsid w:val="61077514"/>
    <w:rsid w:val="616034BF"/>
    <w:rsid w:val="61A22D98"/>
    <w:rsid w:val="61DE06E3"/>
    <w:rsid w:val="61F84460"/>
    <w:rsid w:val="61FA3CF4"/>
    <w:rsid w:val="625165D7"/>
    <w:rsid w:val="62CD0478"/>
    <w:rsid w:val="63FE4BFE"/>
    <w:rsid w:val="64B97E36"/>
    <w:rsid w:val="64FC45AB"/>
    <w:rsid w:val="652341F0"/>
    <w:rsid w:val="65670C2C"/>
    <w:rsid w:val="656E171C"/>
    <w:rsid w:val="65721922"/>
    <w:rsid w:val="6587305C"/>
    <w:rsid w:val="65E816C2"/>
    <w:rsid w:val="665E3A7A"/>
    <w:rsid w:val="66874FD5"/>
    <w:rsid w:val="67760F4F"/>
    <w:rsid w:val="677D0530"/>
    <w:rsid w:val="68000819"/>
    <w:rsid w:val="68F14DFF"/>
    <w:rsid w:val="69107EE6"/>
    <w:rsid w:val="698711F2"/>
    <w:rsid w:val="69B55D5F"/>
    <w:rsid w:val="6AF727F3"/>
    <w:rsid w:val="6B1A2DFA"/>
    <w:rsid w:val="6B724E0D"/>
    <w:rsid w:val="6B7E5284"/>
    <w:rsid w:val="6C382AE1"/>
    <w:rsid w:val="6C6634E1"/>
    <w:rsid w:val="6C733CAF"/>
    <w:rsid w:val="6D091F08"/>
    <w:rsid w:val="6D25144D"/>
    <w:rsid w:val="6D402ECB"/>
    <w:rsid w:val="6D786658"/>
    <w:rsid w:val="6DAA62B8"/>
    <w:rsid w:val="6DCF023D"/>
    <w:rsid w:val="6E0F0B3F"/>
    <w:rsid w:val="6E6757C5"/>
    <w:rsid w:val="6EE1794E"/>
    <w:rsid w:val="6EE36ECA"/>
    <w:rsid w:val="6EEB00C0"/>
    <w:rsid w:val="6F1B2B08"/>
    <w:rsid w:val="6F2D6397"/>
    <w:rsid w:val="6F3516F0"/>
    <w:rsid w:val="6F635CF9"/>
    <w:rsid w:val="6F941206"/>
    <w:rsid w:val="6FA41CD5"/>
    <w:rsid w:val="6FBA5E98"/>
    <w:rsid w:val="6FC368ED"/>
    <w:rsid w:val="6FF818B8"/>
    <w:rsid w:val="705E7762"/>
    <w:rsid w:val="70F164F5"/>
    <w:rsid w:val="712B3716"/>
    <w:rsid w:val="717B3362"/>
    <w:rsid w:val="718B70A4"/>
    <w:rsid w:val="723B7460"/>
    <w:rsid w:val="72772821"/>
    <w:rsid w:val="72822DCC"/>
    <w:rsid w:val="72B23BFE"/>
    <w:rsid w:val="72B648F6"/>
    <w:rsid w:val="72B666A4"/>
    <w:rsid w:val="732775A1"/>
    <w:rsid w:val="733B04FD"/>
    <w:rsid w:val="73D4360A"/>
    <w:rsid w:val="73E01C2A"/>
    <w:rsid w:val="73ED2599"/>
    <w:rsid w:val="745B50AF"/>
    <w:rsid w:val="74CC5977"/>
    <w:rsid w:val="75715C12"/>
    <w:rsid w:val="7574399C"/>
    <w:rsid w:val="758B3F7C"/>
    <w:rsid w:val="759B403C"/>
    <w:rsid w:val="76AF0C54"/>
    <w:rsid w:val="775368EB"/>
    <w:rsid w:val="775B5873"/>
    <w:rsid w:val="77970170"/>
    <w:rsid w:val="77C4095B"/>
    <w:rsid w:val="77CB25FC"/>
    <w:rsid w:val="77F53854"/>
    <w:rsid w:val="77F94905"/>
    <w:rsid w:val="78913205"/>
    <w:rsid w:val="78A31771"/>
    <w:rsid w:val="78B33DB1"/>
    <w:rsid w:val="78DE6954"/>
    <w:rsid w:val="78FD646B"/>
    <w:rsid w:val="79BC5C1C"/>
    <w:rsid w:val="79E40882"/>
    <w:rsid w:val="7A790F2D"/>
    <w:rsid w:val="7A841815"/>
    <w:rsid w:val="7A8756E0"/>
    <w:rsid w:val="7BF158FB"/>
    <w:rsid w:val="7BF15AF4"/>
    <w:rsid w:val="7C43544C"/>
    <w:rsid w:val="7C483121"/>
    <w:rsid w:val="7CF60710"/>
    <w:rsid w:val="7D11554A"/>
    <w:rsid w:val="7D136827"/>
    <w:rsid w:val="7D5766A3"/>
    <w:rsid w:val="7E0E1A8A"/>
    <w:rsid w:val="7EB45671"/>
    <w:rsid w:val="7F721BA4"/>
    <w:rsid w:val="7FCD5292"/>
    <w:rsid w:val="7FD80208"/>
    <w:rsid w:val="FA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2" w:firstLineChars="200"/>
      <w:jc w:val="both"/>
    </w:pPr>
    <w:rPr>
      <w:rFonts w:asciiTheme="minorHAnsi" w:hAnsiTheme="minorHAnsi" w:eastAsiaTheme="minorEastAsia" w:cstheme="minorBidi"/>
      <w:kern w:val="2"/>
      <w:sz w:val="32"/>
      <w:szCs w:val="24"/>
      <w:lang w:val="en-US" w:eastAsia="zh-CN" w:bidi="ar-SA"/>
    </w:rPr>
  </w:style>
  <w:style w:type="paragraph" w:styleId="8">
    <w:name w:val="heading 1"/>
    <w:basedOn w:val="1"/>
    <w:next w:val="1"/>
    <w:qFormat/>
    <w:uiPriority w:val="0"/>
    <w:pPr>
      <w:spacing w:beforeAutospacing="1" w:afterAutospacing="1"/>
      <w:ind w:firstLine="560"/>
      <w:jc w:val="left"/>
      <w:outlineLvl w:val="0"/>
    </w:pPr>
    <w:rPr>
      <w:rFonts w:hint="eastAsia" w:ascii="宋体" w:hAnsi="宋体" w:cs="Times New Roman" w:eastAsiaTheme="majorEastAsia"/>
      <w:b/>
      <w:kern w:val="44"/>
      <w:szCs w:val="48"/>
    </w:rPr>
  </w:style>
  <w:style w:type="paragraph" w:styleId="9">
    <w:name w:val="heading 2"/>
    <w:basedOn w:val="1"/>
    <w:next w:val="1"/>
    <w:link w:val="28"/>
    <w:unhideWhenUsed/>
    <w:qFormat/>
    <w:uiPriority w:val="0"/>
    <w:pPr>
      <w:keepNext/>
      <w:keepLines/>
      <w:spacing w:before="120" w:after="120" w:line="240" w:lineRule="auto"/>
      <w:ind w:firstLine="560"/>
      <w:jc w:val="left"/>
      <w:outlineLvl w:val="1"/>
    </w:pPr>
    <w:rPr>
      <w:rFonts w:ascii="Times New Roman" w:hAnsi="Times New Roman" w:eastAsia="黑体" w:cs="Times New Roman"/>
      <w:szCs w:val="32"/>
    </w:rPr>
  </w:style>
  <w:style w:type="paragraph" w:styleId="10">
    <w:name w:val="heading 3"/>
    <w:basedOn w:val="9"/>
    <w:next w:val="1"/>
    <w:link w:val="27"/>
    <w:unhideWhenUsed/>
    <w:qFormat/>
    <w:uiPriority w:val="0"/>
    <w:pPr>
      <w:adjustRightInd w:val="0"/>
      <w:spacing w:before="240" w:after="240"/>
      <w:ind w:firstLine="0" w:firstLineChars="0"/>
      <w:outlineLvl w:val="2"/>
    </w:pPr>
    <w:rPr>
      <w:rFonts w:ascii="Arial" w:hAnsi="Arial" w:eastAsia="宋体"/>
      <w:b/>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pPr>
  </w:style>
  <w:style w:type="paragraph" w:styleId="3">
    <w:name w:val="Body Text Indent"/>
    <w:basedOn w:val="1"/>
    <w:next w:val="4"/>
    <w:qFormat/>
    <w:uiPriority w:val="0"/>
    <w:pPr>
      <w:ind w:left="420" w:leftChars="200"/>
    </w:pPr>
  </w:style>
  <w:style w:type="paragraph" w:customStyle="1" w:styleId="4">
    <w:name w:val="p16"/>
    <w:next w:val="5"/>
    <w:qFormat/>
    <w:uiPriority w:val="0"/>
    <w:pPr>
      <w:ind w:firstLine="420"/>
      <w:jc w:val="both"/>
    </w:pPr>
    <w:rPr>
      <w:rFonts w:ascii="宋体" w:hAnsi="Times New Roman" w:eastAsia="宋体" w:cs="宋体"/>
      <w:sz w:val="21"/>
      <w:szCs w:val="21"/>
      <w:lang w:val="en-US" w:eastAsia="zh-CN" w:bidi="ar-SA"/>
    </w:rPr>
  </w:style>
  <w:style w:type="paragraph" w:styleId="5">
    <w:name w:val="toc 2"/>
    <w:basedOn w:val="1"/>
    <w:next w:val="1"/>
    <w:qFormat/>
    <w:uiPriority w:val="0"/>
    <w:pPr>
      <w:ind w:left="420" w:leftChars="200"/>
    </w:pPr>
  </w:style>
  <w:style w:type="paragraph" w:styleId="6">
    <w:name w:val="Body Text First Indent"/>
    <w:basedOn w:val="7"/>
    <w:next w:val="1"/>
    <w:qFormat/>
    <w:uiPriority w:val="0"/>
    <w:pPr>
      <w:widowControl w:val="0"/>
      <w:spacing w:after="120" w:afterLines="0" w:afterAutospacing="0"/>
      <w:ind w:firstLine="420" w:firstLineChars="100"/>
      <w:jc w:val="both"/>
    </w:pPr>
    <w:rPr>
      <w:rFonts w:ascii="Calibri" w:hAnsi="Calibri" w:eastAsia="宋体" w:cs="Times New Roman"/>
      <w:kern w:val="2"/>
      <w:sz w:val="21"/>
      <w:szCs w:val="24"/>
      <w:lang w:val="en-US" w:eastAsia="zh-CN" w:bidi="ar-SA"/>
    </w:rPr>
  </w:style>
  <w:style w:type="paragraph" w:styleId="7">
    <w:name w:val="Body Text"/>
    <w:basedOn w:val="1"/>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11">
    <w:name w:val="annotation text"/>
    <w:basedOn w:val="1"/>
    <w:link w:val="33"/>
    <w:qFormat/>
    <w:uiPriority w:val="0"/>
    <w:pPr>
      <w:jc w:val="left"/>
    </w:pPr>
  </w:style>
  <w:style w:type="paragraph" w:styleId="12">
    <w:name w:val="Block Text"/>
    <w:basedOn w:val="1"/>
    <w:next w:val="1"/>
    <w:qFormat/>
    <w:uiPriority w:val="0"/>
    <w:pPr>
      <w:spacing w:before="78" w:beforeLines="25" w:after="78" w:afterLines="25" w:line="380" w:lineRule="exact"/>
      <w:ind w:left="-241" w:right="-154" w:firstLine="560"/>
    </w:pPr>
    <w:rPr>
      <w:sz w:val="22"/>
    </w:rPr>
  </w:style>
  <w:style w:type="paragraph" w:styleId="13">
    <w:name w:val="footer"/>
    <w:basedOn w:val="1"/>
    <w:qFormat/>
    <w:uiPriority w:val="99"/>
    <w:pPr>
      <w:tabs>
        <w:tab w:val="center" w:pos="4153"/>
        <w:tab w:val="right" w:pos="8306"/>
      </w:tabs>
      <w:snapToGrid w:val="0"/>
      <w:jc w:val="left"/>
    </w:pPr>
    <w:rPr>
      <w:rFonts w:ascii="Calibri" w:hAnsi="Calibri" w:eastAsia="宋体"/>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next w:val="1"/>
    <w:qFormat/>
    <w:uiPriority w:val="0"/>
    <w:pPr>
      <w:spacing w:beforeAutospacing="1" w:afterAutospacing="1"/>
      <w:jc w:val="left"/>
    </w:pPr>
    <w:rPr>
      <w:rFonts w:cs="Times New Roman"/>
      <w:kern w:val="0"/>
      <w:sz w:val="24"/>
    </w:rPr>
  </w:style>
  <w:style w:type="paragraph" w:styleId="17">
    <w:name w:val="Title"/>
    <w:basedOn w:val="1"/>
    <w:next w:val="18"/>
    <w:qFormat/>
    <w:uiPriority w:val="0"/>
    <w:pPr>
      <w:widowControl w:val="0"/>
      <w:spacing w:before="209" w:after="209" w:line="0" w:lineRule="atLeast"/>
      <w:jc w:val="center"/>
    </w:pPr>
    <w:rPr>
      <w:rFonts w:ascii="Arial" w:hAnsi="Arial" w:eastAsia="黑体" w:cs="Times New Roman"/>
      <w:kern w:val="2"/>
      <w:sz w:val="52"/>
      <w:szCs w:val="22"/>
      <w:lang w:val="en-US" w:eastAsia="zh-CN" w:bidi="ar-SA"/>
    </w:rPr>
  </w:style>
  <w:style w:type="paragraph" w:customStyle="1" w:styleId="18">
    <w:name w:val="正文文本缩进1"/>
    <w:next w:val="1"/>
    <w:qFormat/>
    <w:uiPriority w:val="0"/>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19">
    <w:name w:val="annotation subject"/>
    <w:basedOn w:val="11"/>
    <w:next w:val="11"/>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character" w:styleId="24">
    <w:name w:val="annotation reference"/>
    <w:basedOn w:val="22"/>
    <w:qFormat/>
    <w:uiPriority w:val="0"/>
    <w:rPr>
      <w:sz w:val="21"/>
      <w:szCs w:val="21"/>
    </w:rPr>
  </w:style>
  <w:style w:type="paragraph" w:customStyle="1" w:styleId="25">
    <w:name w:val="正文样式"/>
    <w:basedOn w:val="26"/>
    <w:qFormat/>
    <w:uiPriority w:val="0"/>
    <w:pPr>
      <w:adjustRightInd w:val="0"/>
      <w:snapToGrid w:val="0"/>
      <w:spacing w:line="520" w:lineRule="exact"/>
    </w:pPr>
    <w:rPr>
      <w:rFonts w:ascii="Times New Roman"/>
      <w:color w:val="000000"/>
      <w:sz w:val="28"/>
      <w:szCs w:val="28"/>
    </w:rPr>
  </w:style>
  <w:style w:type="paragraph" w:customStyle="1" w:styleId="26">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7">
    <w:name w:val="标题 3 字符"/>
    <w:link w:val="10"/>
    <w:qFormat/>
    <w:uiPriority w:val="0"/>
    <w:rPr>
      <w:rFonts w:ascii="Arial" w:hAnsi="Arial" w:eastAsia="宋体" w:cs="Times New Roman"/>
      <w:b/>
      <w:sz w:val="32"/>
      <w:szCs w:val="28"/>
    </w:rPr>
  </w:style>
  <w:style w:type="character" w:customStyle="1" w:styleId="28">
    <w:name w:val="标题 2 字符"/>
    <w:link w:val="9"/>
    <w:qFormat/>
    <w:uiPriority w:val="0"/>
    <w:rPr>
      <w:rFonts w:ascii="Times New Roman" w:hAnsi="Times New Roman" w:eastAsia="黑体" w:cs="Times New Roman"/>
      <w:sz w:val="32"/>
      <w:szCs w:val="32"/>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font01"/>
    <w:basedOn w:val="22"/>
    <w:qFormat/>
    <w:uiPriority w:val="0"/>
    <w:rPr>
      <w:rFonts w:hint="eastAsia" w:ascii="宋体" w:hAnsi="宋体" w:eastAsia="宋体" w:cs="宋体"/>
      <w:color w:val="000000"/>
      <w:sz w:val="22"/>
      <w:szCs w:val="22"/>
      <w:u w:val="none"/>
    </w:rPr>
  </w:style>
  <w:style w:type="paragraph" w:customStyle="1" w:styleId="32">
    <w:name w:val="样式1"/>
    <w:basedOn w:val="1"/>
    <w:next w:val="1"/>
    <w:qFormat/>
    <w:uiPriority w:val="0"/>
    <w:pPr>
      <w:spacing w:beforeAutospacing="1" w:afterAutospacing="1"/>
      <w:jc w:val="left"/>
      <w:outlineLvl w:val="0"/>
    </w:pPr>
    <w:rPr>
      <w:rFonts w:hint="eastAsia" w:ascii="宋体" w:hAnsi="宋体" w:cs="Times New Roman" w:eastAsiaTheme="majorEastAsia"/>
      <w:kern w:val="44"/>
      <w:sz w:val="36"/>
      <w:szCs w:val="48"/>
    </w:rPr>
  </w:style>
  <w:style w:type="character" w:customStyle="1" w:styleId="33">
    <w:name w:val="批注文字 字符"/>
    <w:basedOn w:val="22"/>
    <w:link w:val="11"/>
    <w:qFormat/>
    <w:uiPriority w:val="0"/>
    <w:rPr>
      <w:rFonts w:asciiTheme="minorHAnsi" w:hAnsiTheme="minorHAnsi" w:eastAsiaTheme="minorEastAsia" w:cstheme="minorBidi"/>
      <w:kern w:val="2"/>
      <w:sz w:val="32"/>
      <w:szCs w:val="24"/>
    </w:rPr>
  </w:style>
  <w:style w:type="character" w:customStyle="1" w:styleId="34">
    <w:name w:val="批注主题 字符"/>
    <w:basedOn w:val="33"/>
    <w:link w:val="19"/>
    <w:qFormat/>
    <w:uiPriority w:val="0"/>
    <w:rPr>
      <w:rFonts w:asciiTheme="minorHAnsi" w:hAnsiTheme="minorHAnsi" w:eastAsiaTheme="minorEastAsia" w:cstheme="minorBidi"/>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chart" Target="charts/chart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ThinkPad\Desktop\&#29577;&#27849;&#21306;&#33609;&#21407;&#26862;&#26519;&#38450;&#28779;&#35268;&#21010;\&#29577;&#27849;&#21306;&#26862;&#26519;&#33609;&#21407;&#38450;&#28779;&#35268;&#21010;&#24314;&#35774;&#39033;&#30446;&#25237;&#36164;&#39044;&#3163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rgbClr val="FFFFFF"/>
                </a:solidFill>
                <a:latin typeface="幼圆" panose="02010509060101010101" pitchFamily="49" charset="-122"/>
                <a:ea typeface="幼圆" panose="02010509060101010101" pitchFamily="49" charset="-122"/>
                <a:cs typeface="幼圆" panose="02010509060101010101" pitchFamily="49" charset="-122"/>
                <a:sym typeface="幼圆" panose="02010509060101010101" pitchFamily="49" charset="-122"/>
              </a:defRPr>
            </a:pPr>
            <a:r>
              <a:t>占比</a:t>
            </a:r>
          </a:p>
        </c:rich>
      </c:tx>
      <c:layout>
        <c:manualLayout>
          <c:xMode val="edge"/>
          <c:yMode val="edge"/>
          <c:x val="0.0293921175684703"/>
          <c:y val="0.0328155970470246"/>
        </c:manualLayout>
      </c:layout>
      <c:overlay val="false"/>
      <c:spPr>
        <a:noFill/>
        <a:ln>
          <a:noFill/>
        </a:ln>
        <a:effectLst/>
      </c:spPr>
    </c:title>
    <c:autoTitleDeleted val="false"/>
    <c:plotArea>
      <c:layout>
        <c:manualLayout>
          <c:layoutTarget val="inner"/>
          <c:xMode val="edge"/>
          <c:yMode val="edge"/>
          <c:x val="0.221231134109055"/>
          <c:y val="0.182694257753457"/>
          <c:w val="0.596870956876358"/>
          <c:h val="0.81281856321234"/>
        </c:manualLayout>
      </c:layout>
      <c:ofPieChart>
        <c:ofPieType val="bar"/>
        <c:varyColors val="true"/>
        <c:ser>
          <c:idx val="0"/>
          <c:order val="0"/>
          <c:tx>
            <c:strRef>
              <c:f>[玉泉区森林草原防火规划建设项目投资预算表.xlsx]Sheet3!$B$1</c:f>
              <c:strCache>
                <c:ptCount val="1"/>
                <c:pt idx="0">
                  <c:v>占比</c:v>
                </c:pt>
              </c:strCache>
            </c:strRef>
          </c:tx>
          <c:spPr>
            <a:solidFill>
              <a:srgbClr val="33CCFF"/>
            </a:solidFill>
          </c:spPr>
          <c:explosion val="0"/>
          <c:dPt>
            <c:idx val="0"/>
            <c:bubble3D val="false"/>
            <c:spPr>
              <a:solidFill>
                <a:srgbClr val="24BEC9"/>
              </a:solidFill>
              <a:ln>
                <a:noFill/>
              </a:ln>
              <a:effectLst/>
            </c:spPr>
          </c:dPt>
          <c:dPt>
            <c:idx val="1"/>
            <c:bubble3D val="false"/>
            <c:spPr>
              <a:solidFill>
                <a:srgbClr val="E04A83"/>
              </a:solidFill>
              <a:ln>
                <a:noFill/>
              </a:ln>
              <a:effectLst/>
            </c:spPr>
          </c:dPt>
          <c:dPt>
            <c:idx val="2"/>
            <c:bubble3D val="false"/>
            <c:spPr>
              <a:solidFill>
                <a:srgbClr val="8BC55E"/>
              </a:solidFill>
              <a:ln>
                <a:noFill/>
              </a:ln>
              <a:effectLst/>
            </c:spPr>
          </c:dPt>
          <c:dPt>
            <c:idx val="3"/>
            <c:bubble3D val="false"/>
            <c:spPr>
              <a:solidFill>
                <a:srgbClr val="FBDE00"/>
              </a:solidFill>
              <a:ln>
                <a:noFill/>
              </a:ln>
              <a:effectLst/>
            </c:spPr>
          </c:dPt>
          <c:dPt>
            <c:idx val="4"/>
            <c:bubble3D val="false"/>
            <c:spPr>
              <a:solidFill>
                <a:srgbClr val="80C9D8"/>
              </a:solidFill>
              <a:ln>
                <a:noFill/>
              </a:ln>
              <a:effectLst/>
            </c:spPr>
          </c:dPt>
          <c:dPt>
            <c:idx val="5"/>
            <c:bubble3D val="false"/>
            <c:spPr>
              <a:solidFill>
                <a:srgbClr val="EF8FAB"/>
              </a:solidFill>
              <a:ln>
                <a:noFill/>
              </a:ln>
              <a:effectLst/>
            </c:spPr>
          </c:dPt>
          <c:dPt>
            <c:idx val="6"/>
            <c:bubble3D val="false"/>
            <c:spPr>
              <a:solidFill>
                <a:srgbClr val="A5D493"/>
              </a:solidFill>
              <a:ln>
                <a:noFill/>
              </a:ln>
              <a:effectLst/>
            </c:spPr>
          </c:dPt>
          <c:dPt>
            <c:idx val="7"/>
            <c:bubble3D val="false"/>
            <c:spPr>
              <a:solidFill>
                <a:srgbClr val="F2BA02"/>
              </a:solidFill>
              <a:ln>
                <a:solidFill>
                  <a:srgbClr val="FFFFFF"/>
                </a:solidFill>
              </a:ln>
              <a:effectLst/>
            </c:spPr>
          </c:dPt>
          <c:dPt>
            <c:idx val="8"/>
            <c:bubble3D val="false"/>
            <c:spPr>
              <a:solidFill>
                <a:srgbClr val="00B050"/>
              </a:solidFill>
              <a:ln>
                <a:noFill/>
              </a:ln>
              <a:effectLst/>
            </c:spPr>
          </c:dPt>
          <c:dPt>
            <c:idx val="9"/>
            <c:bubble3D val="false"/>
            <c:spPr>
              <a:solidFill>
                <a:srgbClr val="30C0B4"/>
              </a:solidFill>
              <a:ln>
                <a:noFill/>
              </a:ln>
              <a:effectLst/>
            </c:spPr>
          </c:dPt>
          <c:dPt>
            <c:idx val="10"/>
            <c:bubble3D val="false"/>
            <c:spPr>
              <a:solidFill>
                <a:srgbClr val="33CCFF"/>
              </a:solidFill>
              <a:ln>
                <a:noFill/>
              </a:ln>
              <a:effectLst/>
            </c:spPr>
          </c:dPt>
          <c:dPt>
            <c:idx val="11"/>
            <c:bubble3D val="false"/>
            <c:spPr>
              <a:solidFill>
                <a:srgbClr val="FD5C0C"/>
              </a:solidFill>
              <a:ln>
                <a:noFill/>
              </a:ln>
              <a:effectLst/>
            </c:spPr>
          </c:dPt>
          <c:dLbls>
            <c:dLbl>
              <c:idx val="0"/>
              <c:delete val="true"/>
            </c:dLbl>
            <c:dLbl>
              <c:idx val="1"/>
              <c:delete val="true"/>
            </c:dLbl>
            <c:dLbl>
              <c:idx val="2"/>
              <c:delete val="true"/>
            </c:dLbl>
            <c:dLbl>
              <c:idx val="3"/>
              <c:delete val="true"/>
            </c:dLbl>
            <c:dLbl>
              <c:idx val="4"/>
              <c:layout>
                <c:manualLayout>
                  <c:x val="-0.0449634331860304"/>
                  <c:y val="-0.0055147433281746"/>
                </c:manualLayout>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金川南区</a:t>
                    </a:r>
                    <a:endParaRPr>
                      <a:solidFill>
                        <a:srgbClr val="000000"/>
                      </a:solidFill>
                      <a:latin typeface="+mn-lt"/>
                      <a:ea typeface="+mn-ea"/>
                      <a:cs typeface="+mn-cs"/>
                    </a:endParaRPr>
                  </a:p>
                  <a:p>
                    <a:pPr defTabSz="914400">
                      <a:defRPr lang="zh-CN" sz="900" b="1" i="0" u="none" strike="noStrike" kern="1200" baseline="0">
                        <a:solidFill>
                          <a:srgbClr val="000000"/>
                        </a:solidFill>
                        <a:latin typeface="+mn-lt"/>
                        <a:ea typeface="+mn-ea"/>
                        <a:cs typeface="+mn-cs"/>
                        <a:sym typeface="黑体" panose="02010609060101010101" charset="-122"/>
                      </a:defRPr>
                    </a:pPr>
                    <a:r>
                      <a:rPr lang="en-US" altLang="zh-CN">
                        <a:solidFill>
                          <a:srgbClr val="000000"/>
                        </a:solidFill>
                        <a:latin typeface="+mn-lt"/>
                        <a:ea typeface="+mn-ea"/>
                        <a:cs typeface="+mn-cs"/>
                      </a:rPr>
                      <a:t>1.71</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5"/>
              <c:layout>
                <c:manualLayout>
                  <c:x val="-0.0751862036907787"/>
                  <c:y val="-0.13175490143376"/>
                </c:manualLayout>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兴隆巷街道办事处</a:t>
                    </a:r>
                    <a:endParaRPr>
                      <a:solidFill>
                        <a:srgbClr val="000000"/>
                      </a:solidFill>
                      <a:latin typeface="+mn-lt"/>
                      <a:ea typeface="+mn-ea"/>
                      <a:cs typeface="+mn-cs"/>
                    </a:endParaRPr>
                  </a:p>
                  <a:p>
                    <a:pPr defTabSz="914400">
                      <a:defRPr lang="zh-CN" sz="900" b="1" i="0" u="none" strike="noStrike" kern="1200" baseline="0">
                        <a:solidFill>
                          <a:srgbClr val="000000"/>
                        </a:solidFill>
                        <a:latin typeface="+mn-lt"/>
                        <a:ea typeface="+mn-ea"/>
                        <a:cs typeface="+mn-cs"/>
                        <a:sym typeface="黑体" panose="02010609060101010101" charset="-122"/>
                      </a:defRPr>
                    </a:pPr>
                    <a:r>
                      <a:rPr lang="en-US" altLang="zh-CN">
                        <a:solidFill>
                          <a:srgbClr val="000000"/>
                        </a:solidFill>
                        <a:latin typeface="+mn-lt"/>
                        <a:ea typeface="+mn-ea"/>
                        <a:cs typeface="+mn-cs"/>
                      </a:rPr>
                      <a:t>4.40</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6"/>
              <c:layout>
                <c:manualLayout>
                  <c:x val="-0.0128909135653186"/>
                  <c:y val="-0.128854570715986"/>
                </c:manualLayout>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西菜园街道办事处</a:t>
                    </a:r>
                    <a:endParaRPr>
                      <a:solidFill>
                        <a:srgbClr val="000000"/>
                      </a:solidFill>
                      <a:latin typeface="+mn-lt"/>
                      <a:ea typeface="+mn-ea"/>
                      <a:cs typeface="+mn-cs"/>
                    </a:endParaRPr>
                  </a:p>
                  <a:p>
                    <a:pPr defTabSz="914400">
                      <a:defRPr lang="zh-CN" sz="900" b="1" i="0" u="none" strike="noStrike" kern="1200" baseline="0">
                        <a:solidFill>
                          <a:srgbClr val="000000"/>
                        </a:solidFill>
                        <a:latin typeface="+mn-lt"/>
                        <a:ea typeface="+mn-ea"/>
                        <a:cs typeface="+mn-cs"/>
                        <a:sym typeface="黑体" panose="02010609060101010101" charset="-122"/>
                      </a:defRPr>
                    </a:pPr>
                    <a:r>
                      <a:rPr lang="en-US" altLang="zh-CN">
                        <a:solidFill>
                          <a:srgbClr val="000000"/>
                        </a:solidFill>
                        <a:latin typeface="+mn-lt"/>
                        <a:ea typeface="+mn-ea"/>
                        <a:cs typeface="+mn-cs"/>
                      </a:rPr>
                      <a:t>8.1</a:t>
                    </a:r>
                    <a:r>
                      <a:rPr>
                        <a:solidFill>
                          <a:srgbClr val="000000"/>
                        </a:solidFill>
                        <a:latin typeface="+mn-lt"/>
                        <a:ea typeface="+mn-ea"/>
                        <a:cs typeface="+mn-cs"/>
                      </a:rPr>
                      <a:t>9%</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7"/>
              <c:layout>
                <c:manualLayout>
                  <c:x val="-0.0059807321278906"/>
                  <c:y val="-0.124299482166562"/>
                </c:manualLayout>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裕隆工业园区1</a:t>
                    </a:r>
                    <a:r>
                      <a:rPr lang="en-US" altLang="zh-CN">
                        <a:solidFill>
                          <a:srgbClr val="000000"/>
                        </a:solidFill>
                        <a:latin typeface="+mn-lt"/>
                        <a:ea typeface="+mn-ea"/>
                        <a:cs typeface="+mn-cs"/>
                      </a:rPr>
                      <a:t>0.22</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8"/>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小黑河镇2</a:t>
                    </a:r>
                    <a:r>
                      <a:rPr lang="en-US" altLang="zh-CN">
                        <a:solidFill>
                          <a:srgbClr val="000000"/>
                        </a:solidFill>
                        <a:latin typeface="+mn-lt"/>
                        <a:ea typeface="+mn-ea"/>
                        <a:cs typeface="+mn-cs"/>
                      </a:rPr>
                      <a:t>1.29</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9"/>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鄂尔多斯路街道办事处2</a:t>
                    </a:r>
                    <a:r>
                      <a:rPr lang="en-US" altLang="zh-CN">
                        <a:solidFill>
                          <a:srgbClr val="000000"/>
                        </a:solidFill>
                        <a:latin typeface="+mn-lt"/>
                        <a:ea typeface="+mn-ea"/>
                        <a:cs typeface="+mn-cs"/>
                      </a:rPr>
                      <a:t>0.53</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0"/>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昭君路街道办事处2</a:t>
                    </a:r>
                    <a:r>
                      <a:rPr lang="en-US" altLang="zh-CN">
                        <a:solidFill>
                          <a:srgbClr val="000000"/>
                        </a:solidFill>
                        <a:latin typeface="+mn-lt"/>
                        <a:ea typeface="+mn-ea"/>
                        <a:cs typeface="+mn-cs"/>
                      </a:rPr>
                      <a:t>0.88</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1"/>
              <c:layout>
                <c:manualLayout>
                  <c:x val="-0.171152380174135"/>
                  <c:y val="-0.0307693145803949"/>
                </c:manualLayout>
              </c:layout>
              <c:tx>
                <c:rich>
                  <a:bodyPr rot="0" spcFirstLastPara="0" vertOverflow="ellipsis" vert="horz" wrap="square" lIns="38100" tIns="19050" rIns="38100" bIns="19050" anchor="ctr" anchorCtr="true" forceAA="false">
                    <a:spAutoFit/>
                  </a:bodyPr>
                  <a:lstStyle/>
                  <a:p>
                    <a:pPr defTabSz="914400">
                      <a:defRPr lang="zh-CN" sz="900" b="1" i="0" u="none" strike="noStrike" kern="1200" baseline="0">
                        <a:solidFill>
                          <a:srgbClr val="000000"/>
                        </a:solidFill>
                        <a:latin typeface="+mn-lt"/>
                        <a:ea typeface="+mn-ea"/>
                        <a:cs typeface="+mn-cs"/>
                        <a:sym typeface="黑体" panose="02010609060101010101" charset="-122"/>
                      </a:defRPr>
                    </a:pPr>
                    <a:r>
                      <a:rPr>
                        <a:solidFill>
                          <a:srgbClr val="000000"/>
                        </a:solidFill>
                        <a:latin typeface="+mn-lt"/>
                        <a:ea typeface="+mn-ea"/>
                        <a:cs typeface="+mn-cs"/>
                      </a:rPr>
                      <a:t>其他</a:t>
                    </a:r>
                    <a:endParaRPr>
                      <a:solidFill>
                        <a:srgbClr val="000000"/>
                      </a:solidFill>
                      <a:latin typeface="+mn-lt"/>
                      <a:ea typeface="+mn-ea"/>
                      <a:cs typeface="+mn-cs"/>
                    </a:endParaRPr>
                  </a:p>
                  <a:p>
                    <a:pPr defTabSz="914400">
                      <a:defRPr lang="zh-CN" sz="900" b="1" i="0" u="none" strike="noStrike" kern="1200" baseline="0">
                        <a:solidFill>
                          <a:srgbClr val="000000"/>
                        </a:solidFill>
                        <a:latin typeface="+mn-lt"/>
                        <a:ea typeface="+mn-ea"/>
                        <a:cs typeface="+mn-cs"/>
                        <a:sym typeface="黑体" panose="02010609060101010101" charset="-122"/>
                      </a:defRPr>
                    </a:pPr>
                    <a:r>
                      <a:rPr lang="en-US" altLang="zh-CN">
                        <a:solidFill>
                          <a:srgbClr val="000000"/>
                        </a:solidFill>
                        <a:latin typeface="+mn-lt"/>
                        <a:ea typeface="+mn-ea"/>
                        <a:cs typeface="+mn-cs"/>
                      </a:rPr>
                      <a:t>62.70</a:t>
                    </a:r>
                    <a:r>
                      <a:rPr>
                        <a:solidFill>
                          <a:srgbClr val="000000"/>
                        </a:solidFill>
                        <a:latin typeface="+mn-lt"/>
                        <a:ea typeface="+mn-ea"/>
                        <a:cs typeface="+mn-cs"/>
                      </a:rPr>
                      <a:t>%</a:t>
                    </a:r>
                    <a:endParaRPr>
                      <a:solidFill>
                        <a:srgbClr val="000000"/>
                      </a:solidFill>
                      <a:latin typeface="+mn-lt"/>
                      <a:ea typeface="+mn-ea"/>
                      <a:cs typeface="+mn-cs"/>
                    </a:endParaR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w="12700" cap="flat" cmpd="sng" algn="ctr">
                <a:solidFill>
                  <a:srgbClr val="4874CB"/>
                </a:solidFill>
                <a:prstDash val="solid"/>
                <a:miter lim="800000"/>
              </a:ln>
              <a:effectLst/>
              <a:sp3d>
                <a:extrusionClr>
                  <a:srgbClr val="FFFFFF"/>
                </a:extrusionClr>
                <a:contourClr>
                  <a:srgbClr val="FFFFFF"/>
                </a:contourClr>
              </a:sp3d>
            </c:spPr>
            <c:txPr>
              <a:bodyPr rot="0" spcFirstLastPara="0" vertOverflow="ellipsis" vert="horz" wrap="square" lIns="38100" tIns="19050" rIns="38100" bIns="19050" anchor="ctr" anchorCtr="true" forceAA="false">
                <a:spAutoFit/>
              </a:bodyPr>
              <a:lstStyle/>
              <a:p>
                <a:pPr>
                  <a:defRPr lang="zh-CN" sz="900" b="1" i="0" u="none" strike="noStrike" kern="1200" baseline="0">
                    <a:solidFill>
                      <a:srgbClr val="000000"/>
                    </a:solidFill>
                    <a:latin typeface="+mn-lt"/>
                    <a:ea typeface="+mn-ea"/>
                    <a:cs typeface="+mn-cs"/>
                    <a:sym typeface="黑体" panose="02010609060101010101" charset="-122"/>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[玉泉区森林草原防火规划建设项目投资预算表.xlsx]Sheet3!$A$2:$A$12</c:f>
              <c:strCache>
                <c:ptCount val="11"/>
                <c:pt idx="0">
                  <c:v>小召前街街道办事处</c:v>
                </c:pt>
                <c:pt idx="1">
                  <c:v>长和廊街道办事处</c:v>
                </c:pt>
                <c:pt idx="2">
                  <c:v>石东路街道办事处</c:v>
                </c:pt>
                <c:pt idx="3">
                  <c:v>大南街街道办事处</c:v>
                </c:pt>
                <c:pt idx="4">
                  <c:v>金川南区</c:v>
                </c:pt>
                <c:pt idx="5">
                  <c:v>兴隆巷街道办事处</c:v>
                </c:pt>
                <c:pt idx="6">
                  <c:v>西菜园街道办事处</c:v>
                </c:pt>
                <c:pt idx="7">
                  <c:v>裕隆工业园区</c:v>
                </c:pt>
                <c:pt idx="8">
                  <c:v>小黑河镇</c:v>
                </c:pt>
                <c:pt idx="9">
                  <c:v>鄂尔多斯路街道办事处</c:v>
                </c:pt>
                <c:pt idx="10">
                  <c:v>昭君路街道办事处</c:v>
                </c:pt>
              </c:strCache>
            </c:strRef>
          </c:cat>
          <c:val>
            <c:numRef>
              <c:f>[玉泉区森林草原防火规划建设项目投资预算表.xlsx]Sheet3!$B$2:$B$12</c:f>
              <c:numCache>
                <c:formatCode>0.00%</c:formatCode>
                <c:ptCount val="11"/>
                <c:pt idx="0">
                  <c:v>0</c:v>
                </c:pt>
                <c:pt idx="1">
                  <c:v>0</c:v>
                </c:pt>
                <c:pt idx="2">
                  <c:v>0</c:v>
                </c:pt>
                <c:pt idx="3">
                  <c:v>0</c:v>
                </c:pt>
                <c:pt idx="4">
                  <c:v>0.0170849149941105</c:v>
                </c:pt>
                <c:pt idx="5">
                  <c:v>0.0440414507772021</c:v>
                </c:pt>
                <c:pt idx="6">
                  <c:v>0.0819197529540435</c:v>
                </c:pt>
                <c:pt idx="7">
                  <c:v>0.1022</c:v>
                </c:pt>
                <c:pt idx="8">
                  <c:v>0.212887956335615</c:v>
                </c:pt>
                <c:pt idx="9">
                  <c:v>0.205270914324314</c:v>
                </c:pt>
                <c:pt idx="10">
                  <c:v>0.208803718509183</c:v>
                </c:pt>
              </c:numCache>
            </c:numRef>
          </c:val>
        </c:ser>
        <c:dLbls>
          <c:showLegendKey val="false"/>
          <c:showVal val="false"/>
          <c:showCatName val="true"/>
          <c:showSerName val="false"/>
          <c:showPercent val="true"/>
          <c:showBubbleSize val="false"/>
          <c:showLeaderLines val="true"/>
        </c:dLbls>
        <c:gapWidth val="34"/>
        <c:splitType val="pos"/>
        <c:splitPos val="3"/>
        <c:secondPieSize val="68"/>
        <c:serLines>
          <c:spPr>
            <a:ln w="9525" cap="flat" cmpd="sng" algn="ctr">
              <a:solidFill>
                <a:srgbClr val="A6A6A6">
                  <a:lumMod val="35000"/>
                  <a:lumOff val="65000"/>
                </a:srgbClr>
              </a:solidFill>
              <a:round/>
            </a:ln>
            <a:effectLst/>
          </c:spPr>
        </c:serLines>
      </c:ofPieChart>
      <c:spPr>
        <a:noFill/>
        <a:ln>
          <a:noFill/>
        </a:ln>
        <a:effectLst/>
      </c:spPr>
    </c:plotArea>
    <c:plotVisOnly val="true"/>
    <c:dispBlanksAs val="gap"/>
    <c:showDLblsOverMax val="false"/>
  </c:chart>
  <c:spPr>
    <a:solidFill>
      <a:sysClr val="window" lastClr="FFFFFF"/>
    </a:solidFill>
    <a:ln w="9525" cap="flat" cmpd="sng" algn="ctr">
      <a:no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withinLinear" id="14">
  <a:srgbClr val="4F81BD"/>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true">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false"/>
      </a:gradFill>
      <a:gradFill rotWithShape="true">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false"/>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true">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3693</Words>
  <Characters>21056</Characters>
  <Lines>175</Lines>
  <Paragraphs>49</Paragraphs>
  <TotalTime>9</TotalTime>
  <ScaleCrop>false</ScaleCrop>
  <LinksUpToDate>false</LinksUpToDate>
  <CharactersWithSpaces>24700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2021-12-05T23:43:00Z</dcterms:created>
  <dc:creator>知  竹</dc:creator>
  <cp:lastModifiedBy>yqq</cp:lastModifiedBy>
  <dcterms:modified xsi:type="dcterms:W3CDTF">2025-05-27T16:57:12Z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50D814ED206D4282977117B8A2BEC9EB_13</vt:lpwstr>
  </property>
</Properties>
</file>