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color w:val="000000"/>
          <w:sz w:val="28"/>
          <w:szCs w:val="28"/>
        </w:rPr>
      </w:pPr>
    </w:p>
    <w:p>
      <w:pPr>
        <w:pStyle w:val="2"/>
        <w:rPr>
          <w:rFonts w:ascii="宋体" w:hAnsi="宋体" w:eastAsia="宋体" w:cs="宋体"/>
          <w:b/>
          <w:color w:val="000000"/>
          <w:sz w:val="28"/>
          <w:szCs w:val="28"/>
        </w:rPr>
      </w:pPr>
    </w:p>
    <w:p>
      <w:pPr>
        <w:pStyle w:val="2"/>
        <w:rPr>
          <w:rFonts w:ascii="宋体" w:hAnsi="宋体" w:eastAsia="宋体" w:cs="宋体"/>
          <w:b/>
          <w:color w:val="000000"/>
          <w:sz w:val="28"/>
          <w:szCs w:val="28"/>
        </w:rPr>
      </w:pPr>
    </w:p>
    <w:p>
      <w:pPr>
        <w:spacing w:line="360" w:lineRule="auto"/>
        <w:ind w:firstLine="963" w:firstLineChars="200"/>
        <w:jc w:val="center"/>
        <w:rPr>
          <w:rFonts w:hint="eastAsia" w:ascii="仿宋" w:hAnsi="仿宋" w:eastAsia="仿宋" w:cs="仿宋"/>
          <w:b/>
          <w:bCs/>
          <w:sz w:val="48"/>
          <w:szCs w:val="48"/>
          <w:lang w:eastAsia="zh-CN"/>
        </w:rPr>
      </w:pPr>
    </w:p>
    <w:p>
      <w:pPr>
        <w:pStyle w:val="2"/>
        <w:rPr>
          <w:rFonts w:hint="eastAsia" w:ascii="仿宋" w:hAnsi="仿宋" w:eastAsia="仿宋" w:cs="仿宋"/>
          <w:b/>
          <w:bCs/>
          <w:sz w:val="48"/>
          <w:szCs w:val="48"/>
          <w:lang w:eastAsia="zh-CN"/>
        </w:rPr>
      </w:pPr>
    </w:p>
    <w:p>
      <w:pPr>
        <w:pStyle w:val="2"/>
        <w:rPr>
          <w:rFonts w:hint="eastAsia"/>
          <w:lang w:eastAsia="zh-CN"/>
        </w:rPr>
      </w:pPr>
    </w:p>
    <w:p>
      <w:pPr>
        <w:pStyle w:val="2"/>
        <w:rPr>
          <w:rFonts w:hint="eastAsia"/>
          <w:lang w:eastAsia="zh-CN"/>
        </w:rPr>
      </w:pPr>
    </w:p>
    <w:p>
      <w:pPr>
        <w:spacing w:line="360" w:lineRule="auto"/>
        <w:jc w:val="center"/>
        <w:rPr>
          <w:rFonts w:hint="eastAsia" w:ascii="仿宋" w:hAnsi="仿宋" w:eastAsia="仿宋" w:cs="仿宋"/>
          <w:b/>
          <w:bCs/>
          <w:sz w:val="48"/>
          <w:szCs w:val="48"/>
        </w:rPr>
      </w:pPr>
      <w:bookmarkStart w:id="0" w:name="_Toc6470"/>
      <w:bookmarkStart w:id="1" w:name="_Toc9737"/>
      <w:bookmarkStart w:id="2" w:name="_Toc8043"/>
      <w:r>
        <w:rPr>
          <w:rFonts w:hint="eastAsia" w:ascii="仿宋" w:hAnsi="仿宋" w:eastAsia="仿宋" w:cs="仿宋"/>
          <w:b/>
          <w:bCs/>
          <w:sz w:val="48"/>
          <w:szCs w:val="48"/>
        </w:rPr>
        <w:t>呼和浩特市玉泉区危险化学品</w:t>
      </w:r>
      <w:bookmarkEnd w:id="0"/>
      <w:bookmarkEnd w:id="1"/>
      <w:bookmarkEnd w:id="2"/>
    </w:p>
    <w:p>
      <w:pPr>
        <w:spacing w:line="360" w:lineRule="auto"/>
        <w:jc w:val="center"/>
        <w:rPr>
          <w:rFonts w:hint="eastAsia" w:ascii="仿宋" w:hAnsi="仿宋" w:eastAsia="仿宋" w:cs="仿宋"/>
          <w:b/>
          <w:bCs/>
          <w:sz w:val="48"/>
          <w:szCs w:val="48"/>
        </w:rPr>
      </w:pPr>
      <w:bookmarkStart w:id="3" w:name="_Toc18064"/>
      <w:bookmarkStart w:id="4" w:name="_Toc10362"/>
      <w:bookmarkStart w:id="5" w:name="_Toc2871"/>
      <w:r>
        <w:rPr>
          <w:rFonts w:hint="eastAsia" w:ascii="仿宋" w:hAnsi="仿宋" w:eastAsia="仿宋" w:cs="仿宋"/>
          <w:b/>
          <w:bCs/>
          <w:sz w:val="48"/>
          <w:szCs w:val="48"/>
        </w:rPr>
        <w:t>事故应急预案</w:t>
      </w:r>
      <w:bookmarkEnd w:id="3"/>
      <w:bookmarkEnd w:id="4"/>
      <w:bookmarkEnd w:id="5"/>
    </w:p>
    <w:p>
      <w:pPr>
        <w:spacing w:line="360" w:lineRule="auto"/>
        <w:jc w:val="center"/>
        <w:rPr>
          <w:rFonts w:ascii="宋体" w:hAnsi="宋体" w:eastAsia="宋体" w:cs="宋体"/>
          <w:b/>
          <w:color w:val="000000"/>
          <w:sz w:val="28"/>
          <w:szCs w:val="28"/>
        </w:rPr>
      </w:pPr>
    </w:p>
    <w:p>
      <w:pPr>
        <w:spacing w:line="360" w:lineRule="auto"/>
        <w:jc w:val="center"/>
        <w:rPr>
          <w:rFonts w:ascii="宋体" w:hAnsi="宋体" w:eastAsia="宋体" w:cs="宋体"/>
          <w:b/>
          <w:color w:val="000000"/>
          <w:sz w:val="28"/>
          <w:szCs w:val="28"/>
        </w:rPr>
      </w:pPr>
    </w:p>
    <w:p>
      <w:pPr>
        <w:spacing w:line="360" w:lineRule="auto"/>
        <w:jc w:val="center"/>
        <w:rPr>
          <w:rFonts w:ascii="宋体" w:hAnsi="宋体" w:eastAsia="宋体" w:cs="宋体"/>
          <w:b/>
          <w:color w:val="000000"/>
          <w:sz w:val="28"/>
          <w:szCs w:val="28"/>
        </w:rPr>
      </w:pPr>
    </w:p>
    <w:p>
      <w:pPr>
        <w:spacing w:line="360" w:lineRule="auto"/>
        <w:jc w:val="center"/>
        <w:rPr>
          <w:rFonts w:ascii="宋体" w:hAnsi="宋体" w:eastAsia="宋体" w:cs="宋体"/>
          <w:b/>
          <w:color w:val="000000"/>
          <w:sz w:val="28"/>
          <w:szCs w:val="28"/>
        </w:rPr>
      </w:pPr>
    </w:p>
    <w:p>
      <w:pPr>
        <w:pStyle w:val="26"/>
        <w:rPr>
          <w:rFonts w:ascii="宋体" w:hAnsi="宋体" w:eastAsia="宋体" w:cs="宋体"/>
          <w:b/>
          <w:lang w:eastAsia="zh-CN"/>
        </w:rPr>
      </w:pPr>
    </w:p>
    <w:p>
      <w:pPr>
        <w:pStyle w:val="26"/>
        <w:rPr>
          <w:rFonts w:ascii="宋体" w:hAnsi="宋体" w:eastAsia="宋体" w:cs="宋体"/>
          <w:b/>
          <w:lang w:eastAsia="zh-CN"/>
        </w:rPr>
      </w:pPr>
    </w:p>
    <w:p>
      <w:pPr>
        <w:pStyle w:val="26"/>
        <w:rPr>
          <w:rFonts w:ascii="宋体" w:hAnsi="宋体" w:eastAsia="宋体" w:cs="宋体"/>
          <w:b/>
          <w:lang w:eastAsia="zh-CN"/>
        </w:rPr>
      </w:pPr>
    </w:p>
    <w:p>
      <w:pPr>
        <w:pStyle w:val="26"/>
        <w:rPr>
          <w:rFonts w:ascii="宋体" w:hAnsi="宋体" w:eastAsia="宋体" w:cs="宋体"/>
          <w:b/>
          <w:lang w:eastAsia="zh-CN"/>
        </w:rPr>
      </w:pPr>
    </w:p>
    <w:p>
      <w:pPr>
        <w:pStyle w:val="26"/>
        <w:rPr>
          <w:rFonts w:ascii="宋体" w:hAnsi="宋体" w:eastAsia="宋体" w:cs="宋体"/>
          <w:b/>
          <w:lang w:eastAsia="zh-CN"/>
        </w:rPr>
      </w:pPr>
    </w:p>
    <w:p>
      <w:pPr>
        <w:spacing w:line="360" w:lineRule="auto"/>
        <w:jc w:val="center"/>
        <w:rPr>
          <w:rFonts w:ascii="宋体" w:hAnsi="宋体" w:eastAsia="宋体" w:cs="宋体"/>
          <w:b/>
          <w:color w:val="000000"/>
          <w:sz w:val="28"/>
          <w:szCs w:val="28"/>
        </w:rPr>
      </w:pPr>
    </w:p>
    <w:p>
      <w:pPr>
        <w:pStyle w:val="2"/>
        <w:rPr>
          <w:rFonts w:ascii="宋体" w:hAnsi="宋体" w:eastAsia="宋体" w:cs="宋体"/>
          <w:b/>
          <w:color w:val="000000"/>
          <w:sz w:val="28"/>
          <w:szCs w:val="28"/>
        </w:rPr>
      </w:pPr>
    </w:p>
    <w:p>
      <w:pPr>
        <w:pStyle w:val="2"/>
        <w:rPr>
          <w:rFonts w:ascii="宋体" w:hAnsi="宋体" w:eastAsia="宋体" w:cs="宋体"/>
          <w:b/>
          <w:color w:val="000000"/>
          <w:sz w:val="28"/>
          <w:szCs w:val="28"/>
        </w:rPr>
      </w:pPr>
    </w:p>
    <w:p>
      <w:pPr>
        <w:keepNext w:val="0"/>
        <w:keepLines w:val="0"/>
        <w:pageBreakBefore w:val="0"/>
        <w:widowControl w:val="0"/>
        <w:kinsoku/>
        <w:wordWrap/>
        <w:overflowPunct/>
        <w:topLinePunct w:val="0"/>
        <w:bidi w:val="0"/>
        <w:adjustRightInd w:val="0"/>
        <w:snapToGrid w:val="0"/>
        <w:spacing w:line="240" w:lineRule="auto"/>
        <w:ind w:firstLine="642" w:firstLineChars="200"/>
        <w:textAlignment w:val="auto"/>
        <w:rPr>
          <w:rFonts w:hint="eastAsia" w:ascii="仿宋" w:hAnsi="仿宋" w:eastAsia="仿宋" w:cs="仿宋"/>
          <w:b/>
          <w:bCs/>
          <w:sz w:val="32"/>
        </w:rPr>
      </w:pP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b/>
          <w:bCs/>
          <w:sz w:val="32"/>
          <w:lang w:val="zh-CN"/>
        </w:rPr>
      </w:pPr>
      <w:bookmarkStart w:id="6" w:name="_Toc915"/>
      <w:bookmarkStart w:id="7" w:name="_Toc156"/>
      <w:bookmarkStart w:id="8" w:name="_Toc18664"/>
      <w:bookmarkStart w:id="9" w:name="_Toc13007"/>
      <w:bookmarkStart w:id="10" w:name="_Toc26549"/>
      <w:r>
        <w:rPr>
          <w:rFonts w:hint="eastAsia" w:ascii="仿宋" w:hAnsi="仿宋" w:eastAsia="仿宋" w:cs="仿宋"/>
          <w:b/>
          <w:bCs/>
          <w:sz w:val="32"/>
          <w:lang w:val="en-US" w:eastAsia="zh-CN"/>
        </w:rPr>
        <w:t>呼和浩特市</w:t>
      </w:r>
      <w:r>
        <w:rPr>
          <w:rFonts w:hint="eastAsia" w:ascii="仿宋" w:hAnsi="仿宋" w:eastAsia="仿宋" w:cs="仿宋"/>
          <w:b/>
          <w:bCs/>
          <w:sz w:val="32"/>
        </w:rPr>
        <w:t>玉泉区</w:t>
      </w:r>
      <w:r>
        <w:rPr>
          <w:rFonts w:hint="eastAsia" w:ascii="仿宋" w:hAnsi="仿宋" w:eastAsia="仿宋" w:cs="仿宋"/>
          <w:b/>
          <w:bCs/>
          <w:sz w:val="32"/>
          <w:lang w:val="zh-CN"/>
        </w:rPr>
        <w:t xml:space="preserve">人民政府              </w:t>
      </w:r>
      <w:r>
        <w:rPr>
          <w:rFonts w:hint="eastAsia" w:ascii="仿宋" w:hAnsi="仿宋" w:eastAsia="仿宋" w:cs="仿宋"/>
          <w:b/>
          <w:bCs/>
          <w:sz w:val="32"/>
        </w:rPr>
        <w:t xml:space="preserve">          </w:t>
      </w:r>
      <w:r>
        <w:rPr>
          <w:rFonts w:hint="eastAsia" w:ascii="仿宋" w:hAnsi="仿宋" w:eastAsia="仿宋" w:cs="仿宋"/>
          <w:b/>
          <w:bCs/>
          <w:sz w:val="32"/>
          <w:lang w:val="zh-CN"/>
        </w:rPr>
        <w:t>发布</w:t>
      </w:r>
      <w:bookmarkEnd w:id="6"/>
      <w:bookmarkEnd w:id="7"/>
      <w:bookmarkEnd w:id="8"/>
      <w:bookmarkEnd w:id="9"/>
      <w:bookmarkEnd w:id="10"/>
    </w:p>
    <w:p>
      <w:pPr>
        <w:keepNext w:val="0"/>
        <w:keepLines w:val="0"/>
        <w:pageBreakBefore w:val="0"/>
        <w:widowControl w:val="0"/>
        <w:kinsoku/>
        <w:wordWrap/>
        <w:overflowPunct/>
        <w:topLinePunct w:val="0"/>
        <w:bidi w:val="0"/>
        <w:adjustRightInd w:val="0"/>
        <w:snapToGrid w:val="0"/>
        <w:spacing w:line="240" w:lineRule="auto"/>
        <w:ind w:firstLine="642" w:firstLineChars="200"/>
        <w:textAlignment w:val="auto"/>
        <w:rPr>
          <w:rFonts w:hint="eastAsia" w:ascii="仿宋" w:hAnsi="仿宋" w:eastAsia="仿宋" w:cs="仿宋"/>
          <w:b/>
          <w:bCs/>
          <w:sz w:val="32"/>
          <w:lang w:val="zh-CN"/>
        </w:rPr>
      </w:pPr>
      <w:bookmarkStart w:id="11" w:name="_Toc212475403"/>
      <w:bookmarkStart w:id="12" w:name="_Toc212475404"/>
      <w:r>
        <w:rPr>
          <w:rFonts w:hint="eastAsia" w:ascii="仿宋" w:hAnsi="仿宋" w:eastAsia="仿宋" w:cs="仿宋"/>
          <w:b/>
          <w:bCs/>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90805</wp:posOffset>
                </wp:positionV>
                <wp:extent cx="5520055" cy="635"/>
                <wp:effectExtent l="0" t="13970" r="4445" b="23495"/>
                <wp:wrapNone/>
                <wp:docPr id="3" name="直接连接符 3"/>
                <wp:cNvGraphicFramePr/>
                <a:graphic xmlns:a="http://schemas.openxmlformats.org/drawingml/2006/main">
                  <a:graphicData uri="http://schemas.microsoft.com/office/word/2010/wordprocessingShape">
                    <wps:wsp>
                      <wps:cNvCnPr/>
                      <wps:spPr>
                        <a:xfrm>
                          <a:off x="0" y="0"/>
                          <a:ext cx="5520055" cy="63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5pt;margin-top:7.15pt;height:0.05pt;width:434.65pt;z-index:251660288;mso-width-relative:page;mso-height-relative:page;" filled="f" stroked="t" coordsize="21600,21600" o:gfxdata="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N1gjtTVAAAA&#10;BwEAAA8AAAAAAAAAAQAgAAAAOAAAAGRycy9kb3ducmV2LnhtbFBLAQIUABQAAAAIAIdO4kBSWyQn&#10;0QEAAI0DAAAOAAAAAAAAAAEAIAAAADoBAABkcnMvZTJvRG9jLnhtbFBLBQYAAAAABgAGAFkBAAB9&#10;BQAAAAA=&#10;">
                <v:fill on="f" focussize="0,0"/>
                <v:stroke weight="2.25pt" color="#000000" joinstyle="round"/>
                <v:imagedata o:title=""/>
                <o:lock v:ext="edit" aspectratio="f"/>
              </v:line>
            </w:pict>
          </mc:Fallback>
        </mc:AlternateContent>
      </w:r>
      <w:bookmarkEnd w:id="11"/>
    </w:p>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b/>
          <w:bCs/>
          <w:sz w:val="32"/>
        </w:rPr>
        <w:sectPr>
          <w:headerReference r:id="rId4" w:type="first"/>
          <w:headerReference r:id="rId3" w:type="default"/>
          <w:footerReference r:id="rId5" w:type="default"/>
          <w:pgSz w:w="11907" w:h="16840"/>
          <w:pgMar w:top="1587" w:right="1587" w:bottom="1417" w:left="1588" w:header="720" w:footer="720" w:gutter="0"/>
          <w:pgNumType w:fmt="decimal" w:start="0"/>
          <w:cols w:space="720" w:num="1"/>
          <w:titlePg/>
          <w:docGrid w:linePitch="285" w:charSpace="0"/>
        </w:sectPr>
      </w:pPr>
      <w:bookmarkStart w:id="13" w:name="_Toc18038"/>
      <w:bookmarkStart w:id="14" w:name="_Toc11736"/>
      <w:bookmarkStart w:id="15" w:name="_Toc3255"/>
      <w:bookmarkStart w:id="16" w:name="_Toc634"/>
      <w:bookmarkStart w:id="17" w:name="_Toc1057"/>
      <w:r>
        <w:rPr>
          <w:rFonts w:hint="eastAsia" w:ascii="仿宋" w:hAnsi="仿宋" w:eastAsia="仿宋" w:cs="仿宋"/>
          <w:b/>
          <w:bCs/>
          <w:sz w:val="32"/>
          <w:lang w:val="zh-CN"/>
        </w:rPr>
        <w:t>202</w:t>
      </w:r>
      <w:r>
        <w:rPr>
          <w:rFonts w:hint="eastAsia" w:ascii="仿宋" w:hAnsi="仿宋" w:eastAsia="仿宋" w:cs="仿宋"/>
          <w:b/>
          <w:bCs/>
          <w:sz w:val="32"/>
        </w:rPr>
        <w:t>3</w:t>
      </w:r>
      <w:r>
        <w:rPr>
          <w:rFonts w:hint="eastAsia" w:ascii="仿宋" w:hAnsi="仿宋" w:eastAsia="仿宋" w:cs="仿宋"/>
          <w:b/>
          <w:bCs/>
          <w:sz w:val="32"/>
          <w:lang w:val="zh-CN"/>
        </w:rPr>
        <w:t>年</w:t>
      </w:r>
      <w:r>
        <w:rPr>
          <w:rFonts w:hint="eastAsia" w:ascii="仿宋" w:hAnsi="仿宋" w:eastAsia="仿宋" w:cs="仿宋"/>
          <w:b/>
          <w:bCs/>
          <w:sz w:val="32"/>
        </w:rPr>
        <w:t>1</w:t>
      </w:r>
      <w:bookmarkEnd w:id="12"/>
      <w:bookmarkEnd w:id="13"/>
      <w:bookmarkEnd w:id="14"/>
      <w:bookmarkEnd w:id="15"/>
      <w:bookmarkEnd w:id="16"/>
      <w:bookmarkEnd w:id="17"/>
      <w:r>
        <w:rPr>
          <w:rFonts w:hint="eastAsia" w:ascii="仿宋" w:hAnsi="仿宋" w:eastAsia="仿宋" w:cs="仿宋"/>
          <w:b/>
          <w:bCs/>
          <w:sz w:val="32"/>
        </w:rPr>
        <w:t>1月</w:t>
      </w:r>
    </w:p>
    <w:sdt>
      <w:sdtPr>
        <w:rPr>
          <w:rFonts w:ascii="宋体" w:hAnsi="宋体" w:eastAsia="宋体"/>
        </w:rPr>
        <w:id w:val="147474376"/>
        <w15:color w:val="DBDBDB"/>
        <w:docPartObj>
          <w:docPartGallery w:val="Table of Contents"/>
          <w:docPartUnique/>
        </w:docPartObj>
      </w:sdtPr>
      <w:sdtEndPr>
        <w:rPr>
          <w:rFonts w:ascii="宋体" w:hAnsi="宋体" w:eastAsia="宋体"/>
        </w:rPr>
      </w:sdtEndPr>
      <w:sdtContent>
        <w:p>
          <w:pPr>
            <w:jc w:val="center"/>
          </w:pPr>
          <w:bookmarkStart w:id="18" w:name="_Toc23458"/>
          <w:bookmarkStart w:id="19" w:name="_Toc31386"/>
          <w:bookmarkStart w:id="20" w:name="_Toc24394"/>
          <w:r>
            <w:rPr>
              <w:rFonts w:ascii="宋体" w:hAnsi="宋体" w:eastAsia="宋体"/>
            </w:rPr>
            <w:t>目录</w:t>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240"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TOC \o "1-3" \h \u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_Toc22052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1总则</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_Toc22052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_Toc12233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1.1 编制目的</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_Toc12233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_Toc19294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val="zh-CN" w:eastAsia="zh-CN"/>
            </w:rPr>
            <w:t>1.</w:t>
          </w:r>
          <w:r>
            <w:rPr>
              <w:rFonts w:hint="eastAsia" w:ascii="仿宋" w:hAnsi="仿宋" w:eastAsia="仿宋" w:cs="仿宋"/>
              <w:sz w:val="24"/>
              <w:szCs w:val="24"/>
              <w:lang w:eastAsia="zh-CN"/>
            </w:rPr>
            <w:t>2 编制依据</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_Toc19294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_Toc24581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1.3 适用范围</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_Toc24581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_Toc2318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val="zh-CN" w:eastAsia="zh-CN"/>
            </w:rPr>
            <w:t>1.</w:t>
          </w:r>
          <w:r>
            <w:rPr>
              <w:rFonts w:hint="eastAsia" w:ascii="仿宋" w:hAnsi="仿宋" w:eastAsia="仿宋" w:cs="仿宋"/>
              <w:sz w:val="24"/>
              <w:szCs w:val="24"/>
              <w:lang w:eastAsia="zh-CN"/>
            </w:rPr>
            <w:t>4 工作原则</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_Toc2318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2</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_Toc16742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1.5 事故分级</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_Toc16742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_Toc1207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1.6 响应分级</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_Toc1207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_Toc8614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1.7 预案体系</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_Toc8614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_Toc21093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2 应急组织体系与职责</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_Toc21093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5</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_Toc13554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2.1 危险化学品生产安全事故应急指挥部组成及职责</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_Toc13554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5</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_Toc19608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2.2 危险化学品生产安全事故现场应急指挥部组成及职责</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_Toc19608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7</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_Toc11952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2.3 日常办事机构及职责</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_Toc11952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8</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_Toc6269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2.4 专业工作组</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_Toc6269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9</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240"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_Toc18759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3风险防控、监测与预警</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_Toc18759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13</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_Toc20741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3.1 风险防控</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_Toc20741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13</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_Toc32104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3.2 监测</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_Toc32104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14</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_Toc14232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3.3 预警</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_Toc14232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14</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_Toc27757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3.4 预警响应</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_Toc27757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16</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_Toc32628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4应急处置与救援</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_Toc32628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17</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_Toc24253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4.1 事故报警</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_Toc24253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17</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_Toc12540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4.2 先期处置</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_Toc12540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18</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_Toc32352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4.3 应急响应</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_Toc32352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19</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_Toc19584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4.4 指挥协调</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_Toc19584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21</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_Toc30504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4.5 处置措施</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_Toc30504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23</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_Toc20552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4.6 扩大响应</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_Toc20552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31</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_Toc12563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4.7 信息发布</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_Toc12563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32</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_Toc9185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4.8 响应结束</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_Toc9185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32</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_Toc16086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5后期处置</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_Toc16086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33</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_Toc15111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5.1 善后处置</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_Toc15111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33</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_Toc10676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5.2 调查与评估</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_Toc10676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34</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_Toc5276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5.3 恢复重建</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_Toc5276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34</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_Toc7814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6应急保障</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_Toc7814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35</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_Toc18226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6.1 应急救援队伍保障</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_Toc18226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35</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_Toc3447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6.2 应急经费保障</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_Toc3447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35</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_Toc29372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6.3 应急物资保障</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_Toc29372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36</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_Toc28643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6.4 交通运输保障</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_Toc28643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37</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_Toc12797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6.5 应急专家保障</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_Toc12797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37</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_Toc15792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6.6 通信与信息保障</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_Toc15792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37</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_Toc26758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6.7 医疗卫生保障</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_Toc26758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37</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_Toc29287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6.8 科技保障</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_Toc29287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38</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_Toc6413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6.9 应急避难场所保障</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_Toc6413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38</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_Toc28142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7预案管理</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_Toc28142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39</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_Toc5056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7.1 预案编制</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_Toc5056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39</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_Toc30741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7.2.预案审查与批准</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_Toc30741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39</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_Toc16421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7.3 预案修订与备案</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_Toc16421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39</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_Toc9962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7.4 宣传、教育</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_Toc9962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40</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_Toc4227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7.5 培训</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_Toc4227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40</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_Toc17241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7.6 应急演练</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_Toc17241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40</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_Toc12197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8附则</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_Toc12197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41</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_Toc8523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8.1 定义和说明</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_Toc8523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41</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_Toc6633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8.2 预案解译</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_Toc6633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41</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_Toc13262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8.3 预案发布时间</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_Toc13262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42</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_Toc21908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9</w:t>
          </w:r>
          <w:r>
            <w:rPr>
              <w:rFonts w:hint="default" w:ascii="仿宋" w:hAnsi="仿宋" w:eastAsia="仿宋" w:cs="仿宋"/>
              <w:sz w:val="24"/>
              <w:szCs w:val="24"/>
              <w:lang w:eastAsia="zh-CN"/>
            </w:rPr>
            <w:t>附</w:t>
          </w:r>
          <w:r>
            <w:rPr>
              <w:rFonts w:hint="eastAsia" w:ascii="仿宋" w:hAnsi="仿宋" w:eastAsia="仿宋" w:cs="仿宋"/>
              <w:sz w:val="24"/>
              <w:szCs w:val="24"/>
              <w:lang w:val="en-US" w:eastAsia="zh-CN"/>
            </w:rPr>
            <w:t>件</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_Toc21908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42</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_Toc29144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附</w:t>
          </w:r>
          <w:r>
            <w:rPr>
              <w:rFonts w:hint="eastAsia" w:ascii="仿宋" w:hAnsi="仿宋" w:eastAsia="仿宋" w:cs="仿宋"/>
              <w:sz w:val="24"/>
              <w:szCs w:val="24"/>
              <w:lang w:val="en-US" w:eastAsia="zh-CN"/>
            </w:rPr>
            <w:t>件</w:t>
          </w:r>
          <w:r>
            <w:rPr>
              <w:rFonts w:hint="eastAsia" w:ascii="仿宋" w:hAnsi="仿宋" w:eastAsia="仿宋" w:cs="仿宋"/>
              <w:sz w:val="24"/>
              <w:szCs w:val="24"/>
              <w:lang w:eastAsia="zh-CN"/>
            </w:rPr>
            <w:t>1：玉泉区概况</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_Toc29144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43</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_Toc26744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附件2：玉泉区危险化学品企业危险性分析</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_Toc26744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47</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_Toc29121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附件3：玉泉区危险化学品生产安全事故应急处置工作流程图</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_Toc29121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48</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_Toc24604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附件4：玉泉区有关应急部门、机构或人员的联系方式</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_Toc24604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49</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_Toc16727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附件5：玉泉区应急有关部门联系方式</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_Toc16727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52</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_Toc30701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附件6：玉泉区应急救援装备配置表</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_Toc30701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53</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_Toc26570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附件7：玉泉区应急救援队大应急救援装备配置表</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_Toc26570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56</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_Toc13830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附件8：玉泉区应急救援队伍表</w:t>
          </w:r>
          <w:r>
            <w:rPr>
              <w:rFonts w:hint="eastAsia" w:ascii="仿宋" w:hAnsi="仿宋" w:eastAsia="仿宋" w:cs="仿宋"/>
              <w:sz w:val="24"/>
              <w:szCs w:val="24"/>
              <w:lang w:eastAsia="zh-CN"/>
            </w:rPr>
            <w:tab/>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PAGEREF _Toc13830 \h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58</w:t>
          </w:r>
          <w:r>
            <w:rPr>
              <w:rFonts w:hint="eastAsia" w:ascii="仿宋" w:hAnsi="仿宋" w:eastAsia="仿宋" w:cs="仿宋"/>
              <w:sz w:val="24"/>
              <w:szCs w:val="24"/>
              <w:lang w:eastAsia="zh-CN"/>
            </w:rPr>
            <w:fldChar w:fldCharType="end"/>
          </w:r>
          <w:r>
            <w:rPr>
              <w:rFonts w:hint="eastAsia" w:ascii="仿宋" w:hAnsi="仿宋" w:eastAsia="仿宋" w:cs="仿宋"/>
              <w:sz w:val="24"/>
              <w:szCs w:val="24"/>
              <w:lang w:eastAsia="zh-CN"/>
            </w:rPr>
            <w:fldChar w:fldCharType="end"/>
          </w:r>
        </w:p>
        <w:p>
          <w:pPr>
            <w:pStyle w:val="10"/>
            <w:keepNext w:val="0"/>
            <w:keepLines w:val="0"/>
            <w:pageBreakBefore w:val="0"/>
            <w:widowControl w:val="0"/>
            <w:tabs>
              <w:tab w:val="right" w:leader="dot" w:pos="8731"/>
            </w:tabs>
            <w:kinsoku/>
            <w:wordWrap/>
            <w:overflowPunct/>
            <w:topLinePunct w:val="0"/>
            <w:autoSpaceDE/>
            <w:autoSpaceDN/>
            <w:bidi w:val="0"/>
            <w:adjustRightInd w:val="0"/>
            <w:snapToGrid w:val="0"/>
            <w:spacing w:after="0" w:line="360" w:lineRule="auto"/>
            <w:ind w:left="0" w:leftChars="0" w:firstLine="480" w:firstLineChars="200"/>
            <w:textAlignment w:val="auto"/>
            <w:rPr>
              <w:rFonts w:ascii="宋体" w:hAnsi="宋体" w:eastAsia="宋体"/>
            </w:rPr>
          </w:pPr>
          <w:r>
            <w:rPr>
              <w:rFonts w:hint="eastAsia" w:ascii="仿宋" w:hAnsi="仿宋" w:eastAsia="仿宋" w:cs="仿宋"/>
              <w:sz w:val="24"/>
              <w:szCs w:val="24"/>
              <w:lang w:eastAsia="zh-CN"/>
            </w:rPr>
            <w:fldChar w:fldCharType="end"/>
          </w:r>
        </w:p>
      </w:sdtContent>
    </w:sdt>
    <w:bookmarkEnd w:id="18"/>
    <w:bookmarkEnd w:id="19"/>
    <w:bookmarkEnd w:id="20"/>
    <w:p>
      <w:pPr>
        <w:pStyle w:val="3"/>
        <w:adjustRightInd w:val="0"/>
        <w:snapToGrid w:val="0"/>
        <w:ind w:firstLine="642" w:firstLineChars="200"/>
        <w:rPr>
          <w:rFonts w:eastAsia="仿宋"/>
          <w:b/>
          <w:sz w:val="32"/>
        </w:rPr>
        <w:sectPr>
          <w:headerReference r:id="rId6" w:type="default"/>
          <w:footerReference r:id="rId7" w:type="default"/>
          <w:pgSz w:w="11900" w:h="16820"/>
          <w:pgMar w:top="1587" w:right="1587" w:bottom="1417" w:left="1588" w:header="720" w:footer="1134" w:gutter="0"/>
          <w:pgNumType w:fmt="decimal" w:start="1"/>
          <w:cols w:space="720" w:num="1"/>
          <w:docGrid w:linePitch="1" w:charSpace="0"/>
        </w:sectPr>
      </w:pPr>
      <w:bookmarkStart w:id="21" w:name="_Toc8907"/>
      <w:bookmarkStart w:id="22" w:name="_Toc28686"/>
      <w:bookmarkStart w:id="23" w:name="_Toc13696"/>
      <w:bookmarkStart w:id="24" w:name="_Toc7142"/>
      <w:bookmarkStart w:id="25" w:name="_Toc29321"/>
      <w:bookmarkStart w:id="26" w:name="_Toc19866"/>
      <w:bookmarkStart w:id="27" w:name="_Toc22052"/>
      <w:bookmarkStart w:id="28" w:name="_Toc30708"/>
      <w:bookmarkStart w:id="29" w:name="_Toc5075"/>
      <w:bookmarkStart w:id="30" w:name="_Toc32332"/>
      <w:bookmarkStart w:id="31" w:name="_Toc29562"/>
      <w:bookmarkStart w:id="32" w:name="_Toc24328"/>
      <w:bookmarkStart w:id="33" w:name="_Toc28220"/>
    </w:p>
    <w:p>
      <w:pPr>
        <w:pStyle w:val="3"/>
        <w:adjustRightInd w:val="0"/>
        <w:snapToGrid w:val="0"/>
        <w:ind w:firstLine="642" w:firstLineChars="200"/>
        <w:rPr>
          <w:rFonts w:hint="default" w:eastAsia="仿宋"/>
          <w:b/>
          <w:sz w:val="32"/>
        </w:rPr>
      </w:pPr>
      <w:r>
        <w:rPr>
          <w:rFonts w:eastAsia="仿宋"/>
          <w:b/>
          <w:sz w:val="32"/>
        </w:rPr>
        <w:t>1总则</w:t>
      </w:r>
      <w:bookmarkEnd w:id="21"/>
      <w:bookmarkEnd w:id="22"/>
      <w:bookmarkEnd w:id="23"/>
      <w:bookmarkEnd w:id="24"/>
      <w:bookmarkEnd w:id="25"/>
      <w:bookmarkEnd w:id="26"/>
      <w:bookmarkEnd w:id="27"/>
      <w:bookmarkEnd w:id="28"/>
      <w:bookmarkEnd w:id="29"/>
      <w:bookmarkEnd w:id="30"/>
      <w:bookmarkEnd w:id="31"/>
      <w:bookmarkEnd w:id="32"/>
      <w:bookmarkEnd w:id="33"/>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34" w:name="_Toc18589"/>
      <w:bookmarkStart w:id="35" w:name="_Toc20688"/>
      <w:bookmarkStart w:id="36" w:name="_Toc23495"/>
      <w:bookmarkStart w:id="37" w:name="_Toc28733"/>
      <w:bookmarkStart w:id="38" w:name="_Toc15072"/>
      <w:bookmarkStart w:id="39" w:name="_Toc3508"/>
      <w:bookmarkStart w:id="40" w:name="_Toc8155"/>
      <w:bookmarkStart w:id="41" w:name="_Toc3460"/>
      <w:bookmarkStart w:id="42" w:name="_Toc1690"/>
      <w:bookmarkStart w:id="43" w:name="_Toc10305"/>
      <w:bookmarkStart w:id="44" w:name="_Toc12233"/>
      <w:bookmarkStart w:id="45" w:name="_Toc29557"/>
      <w:bookmarkStart w:id="46" w:name="_Toc4621"/>
      <w:r>
        <w:rPr>
          <w:rFonts w:hint="eastAsia" w:ascii="仿宋" w:hAnsi="仿宋" w:eastAsia="仿宋" w:cs="仿宋"/>
          <w:b/>
          <w:bCs/>
          <w:color w:val="333333"/>
          <w:sz w:val="32"/>
          <w:szCs w:val="32"/>
          <w:shd w:val="clear" w:color="auto" w:fill="FFFFFF"/>
        </w:rPr>
        <w:t>1.1</w:t>
      </w:r>
      <w:r>
        <w:rPr>
          <w:rFonts w:ascii="仿宋" w:hAnsi="仿宋" w:eastAsia="仿宋" w:cs="仿宋"/>
          <w:b/>
          <w:bCs/>
          <w:color w:val="333333"/>
          <w:sz w:val="32"/>
          <w:szCs w:val="32"/>
          <w:shd w:val="clear" w:color="auto" w:fill="FFFFFF"/>
        </w:rPr>
        <w:t xml:space="preserve"> </w:t>
      </w:r>
      <w:r>
        <w:rPr>
          <w:rFonts w:hint="eastAsia" w:ascii="仿宋" w:hAnsi="仿宋" w:eastAsia="仿宋" w:cs="仿宋"/>
          <w:b/>
          <w:bCs/>
          <w:color w:val="333333"/>
          <w:sz w:val="32"/>
          <w:szCs w:val="32"/>
          <w:shd w:val="clear" w:color="auto" w:fill="FFFFFF"/>
        </w:rPr>
        <w:t>编制目的</w:t>
      </w:r>
      <w:bookmarkEnd w:id="34"/>
      <w:bookmarkEnd w:id="35"/>
      <w:bookmarkEnd w:id="36"/>
      <w:bookmarkEnd w:id="37"/>
      <w:bookmarkEnd w:id="38"/>
      <w:bookmarkEnd w:id="39"/>
      <w:bookmarkEnd w:id="40"/>
      <w:bookmarkEnd w:id="41"/>
      <w:bookmarkEnd w:id="42"/>
      <w:bookmarkEnd w:id="43"/>
      <w:bookmarkEnd w:id="44"/>
      <w:bookmarkEnd w:id="45"/>
      <w:bookmarkEnd w:id="46"/>
    </w:p>
    <w:p>
      <w:pPr>
        <w:autoSpaceDE w:val="0"/>
        <w:autoSpaceDN w:val="0"/>
        <w:spacing w:line="360" w:lineRule="auto"/>
        <w:ind w:firstLine="560"/>
        <w:rPr>
          <w:rFonts w:ascii="仿宋" w:hAnsi="仿宋" w:eastAsia="仿宋" w:cs="仿宋"/>
          <w:color w:val="333333"/>
          <w:kern w:val="0"/>
          <w:sz w:val="32"/>
          <w:szCs w:val="32"/>
          <w:lang w:val="zh-CN" w:bidi="ar"/>
        </w:rPr>
      </w:pPr>
      <w:r>
        <w:rPr>
          <w:rFonts w:hint="eastAsia" w:ascii="仿宋" w:hAnsi="仿宋" w:eastAsia="仿宋" w:cs="仿宋"/>
          <w:color w:val="333333"/>
          <w:kern w:val="0"/>
          <w:sz w:val="32"/>
          <w:szCs w:val="32"/>
          <w:lang w:bidi="ar"/>
        </w:rPr>
        <w:t>为建立健全危险化学品事故应急救援机制，迅速、有效做好事故应对工作，最大程度地减少事故造成的人员伤亡和财产损失，结合呼和浩特市玉泉区实际，制定本预案。</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47" w:name="_Toc19993016"/>
      <w:bookmarkStart w:id="48" w:name="_Toc19991244"/>
      <w:bookmarkStart w:id="49" w:name="_Toc19991821"/>
      <w:bookmarkStart w:id="50" w:name="_Toc3752"/>
      <w:bookmarkStart w:id="51" w:name="_Toc10550"/>
      <w:bookmarkStart w:id="52" w:name="_Toc18584"/>
      <w:bookmarkStart w:id="53" w:name="_Toc20790"/>
      <w:bookmarkStart w:id="54" w:name="_Toc3875"/>
      <w:bookmarkStart w:id="55" w:name="_Toc28348"/>
      <w:bookmarkStart w:id="56" w:name="_Toc15407"/>
      <w:bookmarkStart w:id="57" w:name="_Toc17238"/>
      <w:bookmarkStart w:id="58" w:name="_Toc17737"/>
      <w:bookmarkStart w:id="59" w:name="_Toc19294"/>
      <w:bookmarkStart w:id="60" w:name="_Toc12846"/>
      <w:bookmarkStart w:id="61" w:name="_Toc30731"/>
      <w:bookmarkStart w:id="62" w:name="_Toc15039"/>
      <w:r>
        <w:rPr>
          <w:rFonts w:hint="eastAsia" w:ascii="仿宋" w:hAnsi="仿宋" w:eastAsia="仿宋" w:cs="仿宋"/>
          <w:b/>
          <w:bCs/>
          <w:color w:val="333333"/>
          <w:sz w:val="32"/>
          <w:szCs w:val="32"/>
          <w:shd w:val="clear" w:color="auto" w:fill="FFFFFF"/>
          <w:lang w:val="zh-CN"/>
        </w:rPr>
        <w:t>1.</w:t>
      </w:r>
      <w:bookmarkEnd w:id="47"/>
      <w:bookmarkEnd w:id="48"/>
      <w:bookmarkEnd w:id="49"/>
      <w:bookmarkEnd w:id="50"/>
      <w:bookmarkEnd w:id="51"/>
      <w:r>
        <w:rPr>
          <w:rFonts w:ascii="仿宋" w:hAnsi="仿宋" w:eastAsia="仿宋" w:cs="仿宋"/>
          <w:b/>
          <w:bCs/>
          <w:color w:val="333333"/>
          <w:sz w:val="32"/>
          <w:szCs w:val="32"/>
          <w:shd w:val="clear" w:color="auto" w:fill="FFFFFF"/>
        </w:rPr>
        <w:t xml:space="preserve">2 </w:t>
      </w:r>
      <w:r>
        <w:rPr>
          <w:rFonts w:hint="eastAsia" w:ascii="仿宋" w:hAnsi="仿宋" w:eastAsia="仿宋" w:cs="仿宋"/>
          <w:b/>
          <w:bCs/>
          <w:color w:val="333333"/>
          <w:sz w:val="32"/>
          <w:szCs w:val="32"/>
          <w:shd w:val="clear" w:color="auto" w:fill="FFFFFF"/>
        </w:rPr>
        <w:t>编制依据</w:t>
      </w:r>
      <w:bookmarkEnd w:id="52"/>
      <w:bookmarkEnd w:id="53"/>
      <w:bookmarkEnd w:id="54"/>
      <w:bookmarkEnd w:id="55"/>
      <w:bookmarkEnd w:id="56"/>
      <w:bookmarkEnd w:id="57"/>
      <w:bookmarkEnd w:id="58"/>
      <w:bookmarkEnd w:id="59"/>
      <w:bookmarkEnd w:id="60"/>
      <w:bookmarkEnd w:id="61"/>
      <w:bookmarkEnd w:id="62"/>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依据《中华人民共和国突发事件应对法》《中华人民共和国安全生产法》《中华人民共和国消防法》《生产安全事故应急条例》《生产安全事故报告和调查处理条例》《危险化学品安全管理条例》《突发事件应急预案管理办法》</w:t>
      </w:r>
      <w:bookmarkStart w:id="63" w:name="_Toc21474"/>
      <w:bookmarkStart w:id="64" w:name="_Toc1750"/>
      <w:bookmarkStart w:id="65" w:name="_Toc30801"/>
      <w:r>
        <w:rPr>
          <w:rFonts w:hint="eastAsia" w:ascii="仿宋" w:hAnsi="仿宋" w:eastAsia="仿宋" w:cs="仿宋"/>
          <w:color w:val="333333"/>
          <w:kern w:val="0"/>
          <w:sz w:val="32"/>
          <w:szCs w:val="32"/>
          <w:lang w:bidi="ar"/>
        </w:rPr>
        <w:t>《生产安全事故应急预案管理办法》</w:t>
      </w:r>
      <w:bookmarkEnd w:id="63"/>
      <w:bookmarkEnd w:id="64"/>
      <w:bookmarkEnd w:id="65"/>
      <w:r>
        <w:rPr>
          <w:rFonts w:hint="eastAsia" w:ascii="仿宋" w:hAnsi="仿宋" w:eastAsia="仿宋" w:cs="仿宋"/>
          <w:color w:val="333333"/>
          <w:kern w:val="0"/>
          <w:sz w:val="32"/>
          <w:szCs w:val="32"/>
          <w:lang w:bidi="ar"/>
        </w:rPr>
        <w:t>《危险化学品重大危险源监督管理暂行规定》《危险化学品重大危险源辨识》《内蒙古自治区安全生产条例》《内蒙古自治区突发事件总体应急预案（试行）》《呼和浩特市危险化学品事故应急预案》《</w:t>
      </w:r>
      <w:bookmarkStart w:id="66" w:name="_Toc14264"/>
      <w:bookmarkStart w:id="67" w:name="_Toc25474"/>
      <w:r>
        <w:rPr>
          <w:rFonts w:hint="eastAsia" w:ascii="仿宋" w:hAnsi="仿宋" w:eastAsia="仿宋" w:cs="仿宋"/>
          <w:color w:val="333333"/>
          <w:kern w:val="0"/>
          <w:sz w:val="32"/>
          <w:szCs w:val="32"/>
          <w:lang w:bidi="ar"/>
        </w:rPr>
        <w:t>呼和浩特市玉泉区突发事件总体应急预案</w:t>
      </w:r>
      <w:bookmarkEnd w:id="66"/>
      <w:bookmarkEnd w:id="67"/>
      <w:r>
        <w:rPr>
          <w:rFonts w:hint="eastAsia" w:ascii="仿宋" w:hAnsi="仿宋" w:eastAsia="仿宋" w:cs="仿宋"/>
          <w:color w:val="333333"/>
          <w:kern w:val="0"/>
          <w:sz w:val="32"/>
          <w:szCs w:val="32"/>
          <w:lang w:bidi="ar"/>
        </w:rPr>
        <w:t>》等法规、规章、标准及规范性文件等有关规定。</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68" w:name="_Toc24581"/>
      <w:bookmarkStart w:id="69" w:name="_Toc11758"/>
      <w:bookmarkStart w:id="70" w:name="_Toc10288"/>
      <w:bookmarkStart w:id="71" w:name="_Toc30452"/>
      <w:bookmarkStart w:id="72" w:name="_Toc12839"/>
      <w:bookmarkStart w:id="73" w:name="_Toc27049"/>
      <w:bookmarkStart w:id="74" w:name="_Toc1865"/>
      <w:bookmarkStart w:id="75" w:name="_Toc22241"/>
      <w:bookmarkStart w:id="76" w:name="_Toc32097"/>
      <w:bookmarkStart w:id="77" w:name="_Toc12008"/>
      <w:r>
        <w:rPr>
          <w:rFonts w:hint="eastAsia" w:ascii="仿宋" w:hAnsi="仿宋" w:eastAsia="仿宋" w:cs="仿宋"/>
          <w:b/>
          <w:bCs/>
          <w:color w:val="333333"/>
          <w:sz w:val="32"/>
          <w:szCs w:val="32"/>
          <w:shd w:val="clear" w:color="auto" w:fill="FFFFFF"/>
        </w:rPr>
        <w:t>1.3</w:t>
      </w:r>
      <w:r>
        <w:rPr>
          <w:rFonts w:ascii="仿宋" w:hAnsi="仿宋" w:eastAsia="仿宋" w:cs="仿宋"/>
          <w:b/>
          <w:bCs/>
          <w:color w:val="333333"/>
          <w:sz w:val="32"/>
          <w:szCs w:val="32"/>
          <w:shd w:val="clear" w:color="auto" w:fill="FFFFFF"/>
        </w:rPr>
        <w:t xml:space="preserve"> </w:t>
      </w:r>
      <w:r>
        <w:rPr>
          <w:rFonts w:hint="eastAsia" w:ascii="仿宋" w:hAnsi="仿宋" w:eastAsia="仿宋" w:cs="仿宋"/>
          <w:b/>
          <w:bCs/>
          <w:color w:val="333333"/>
          <w:sz w:val="32"/>
          <w:szCs w:val="32"/>
          <w:shd w:val="clear" w:color="auto" w:fill="FFFFFF"/>
        </w:rPr>
        <w:t>适用范围</w:t>
      </w:r>
      <w:bookmarkEnd w:id="68"/>
      <w:bookmarkEnd w:id="69"/>
      <w:bookmarkEnd w:id="70"/>
      <w:bookmarkEnd w:id="71"/>
      <w:bookmarkEnd w:id="72"/>
      <w:bookmarkEnd w:id="73"/>
      <w:bookmarkEnd w:id="74"/>
      <w:bookmarkEnd w:id="75"/>
      <w:bookmarkEnd w:id="76"/>
      <w:bookmarkEnd w:id="77"/>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 xml:space="preserve">本预案适用于呼和浩特市玉泉区危险化学品生产、储存、运输、经营、使用和废弃危险化学品处置过程中发生的，需要由危险化学品生产安全事故应急指挥部负责处置的一般危险化学品事故，协助处置重大、特别重大危险化学品事故，协调处置较大危险化学品事故。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 xml:space="preserve">较大危险化学品事故的应急救援工作由呼和浩特市人民政府负责处置；重大、特别重大危险化学品事故的应急救援工作按照自治区、国家相关预案执行，本预案适用于较大、重大、特别重大危险化学品事故的前期应急处置有关工作。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val="zh-CN" w:bidi="ar"/>
        </w:rPr>
        <w:t>本预案不适用于城镇燃气、放射性物品、军事设施和核能物质的事故应急处置；危险化学品运输过程中发生的事故应急处置按照玉泉区危险化学品道路运输事故应急预案执行。</w:t>
      </w:r>
    </w:p>
    <w:p>
      <w:pPr>
        <w:autoSpaceDE w:val="0"/>
        <w:autoSpaceDN w:val="0"/>
        <w:spacing w:line="360" w:lineRule="auto"/>
        <w:ind w:firstLine="560"/>
        <w:rPr>
          <w:lang w:bidi="ar"/>
        </w:rPr>
      </w:pPr>
      <w:r>
        <w:rPr>
          <w:rFonts w:hint="eastAsia" w:ascii="仿宋" w:hAnsi="仿宋" w:eastAsia="仿宋" w:cs="仿宋"/>
          <w:color w:val="333333"/>
          <w:kern w:val="0"/>
          <w:sz w:val="32"/>
          <w:szCs w:val="32"/>
          <w:lang w:val="zh-CN" w:bidi="ar"/>
        </w:rPr>
        <w:t>本预案指导全区危险化学品生产安全事故应急救援工作。</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78" w:name="_Toc24006"/>
      <w:bookmarkStart w:id="79" w:name="_Toc2554"/>
      <w:bookmarkStart w:id="80" w:name="_Toc2318"/>
      <w:bookmarkStart w:id="81" w:name="_Toc18952"/>
      <w:bookmarkStart w:id="82" w:name="_Toc28524"/>
      <w:bookmarkStart w:id="83" w:name="_Toc17988"/>
      <w:bookmarkStart w:id="84" w:name="_Toc14351"/>
      <w:bookmarkStart w:id="85" w:name="_Toc19942"/>
      <w:bookmarkStart w:id="86" w:name="_Toc24285"/>
      <w:bookmarkStart w:id="87" w:name="_Toc29594"/>
      <w:bookmarkStart w:id="88" w:name="_Toc15622"/>
      <w:r>
        <w:rPr>
          <w:rFonts w:hint="eastAsia" w:ascii="仿宋" w:hAnsi="仿宋" w:eastAsia="仿宋" w:cs="仿宋"/>
          <w:b/>
          <w:bCs/>
          <w:color w:val="333333"/>
          <w:sz w:val="32"/>
          <w:szCs w:val="32"/>
          <w:shd w:val="clear" w:color="auto" w:fill="FFFFFF"/>
          <w:lang w:val="zh-CN"/>
        </w:rPr>
        <w:t>1.</w:t>
      </w:r>
      <w:r>
        <w:rPr>
          <w:rFonts w:hint="eastAsia" w:ascii="仿宋" w:hAnsi="仿宋" w:eastAsia="仿宋" w:cs="仿宋"/>
          <w:b/>
          <w:bCs/>
          <w:color w:val="333333"/>
          <w:sz w:val="32"/>
          <w:szCs w:val="32"/>
          <w:shd w:val="clear" w:color="auto" w:fill="FFFFFF"/>
        </w:rPr>
        <w:t>4 工作原则</w:t>
      </w:r>
      <w:bookmarkEnd w:id="78"/>
      <w:bookmarkEnd w:id="79"/>
      <w:bookmarkEnd w:id="80"/>
      <w:bookmarkEnd w:id="81"/>
      <w:bookmarkEnd w:id="82"/>
      <w:bookmarkEnd w:id="83"/>
      <w:bookmarkEnd w:id="84"/>
      <w:bookmarkEnd w:id="85"/>
      <w:bookmarkEnd w:id="86"/>
      <w:bookmarkEnd w:id="87"/>
      <w:bookmarkEnd w:id="88"/>
    </w:p>
    <w:p>
      <w:pPr>
        <w:autoSpaceDE w:val="0"/>
        <w:autoSpaceDN w:val="0"/>
        <w:spacing w:line="360" w:lineRule="auto"/>
        <w:ind w:firstLine="560"/>
        <w:rPr>
          <w:rFonts w:ascii="仿宋" w:hAnsi="仿宋" w:eastAsia="仿宋" w:cs="仿宋"/>
          <w:color w:val="333333"/>
          <w:kern w:val="0"/>
          <w:sz w:val="32"/>
          <w:szCs w:val="32"/>
          <w:lang w:val="zh-CN" w:bidi="ar"/>
        </w:rPr>
      </w:pPr>
      <w:bookmarkStart w:id="89" w:name="_Toc19991245"/>
      <w:bookmarkStart w:id="90" w:name="_Toc19993017"/>
      <w:bookmarkStart w:id="91" w:name="_Toc19991822"/>
      <w:r>
        <w:rPr>
          <w:rFonts w:hint="eastAsia" w:ascii="仿宋" w:hAnsi="仿宋" w:eastAsia="仿宋" w:cs="仿宋"/>
          <w:color w:val="333333"/>
          <w:kern w:val="0"/>
          <w:sz w:val="32"/>
          <w:szCs w:val="32"/>
          <w:lang w:bidi="ar"/>
        </w:rPr>
        <w:t>1</w:t>
      </w:r>
      <w:r>
        <w:rPr>
          <w:rFonts w:ascii="仿宋" w:hAnsi="仿宋" w:eastAsia="仿宋" w:cs="仿宋"/>
          <w:color w:val="333333"/>
          <w:kern w:val="0"/>
          <w:sz w:val="32"/>
          <w:szCs w:val="32"/>
          <w:lang w:bidi="ar"/>
        </w:rPr>
        <w:t>.4.1</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 xml:space="preserve">以人为本，安全第一。把保障人民群众的生命安全和身体健康、最大限度地预防和减少危险化学品事故造成的人员伤亡作为首要任务。切实加强应急救援人员的安全防护，充分发挥专业救援力量的骨干作用和人民群众的基础作用。 </w:t>
      </w:r>
    </w:p>
    <w:p>
      <w:pPr>
        <w:autoSpaceDE w:val="0"/>
        <w:autoSpaceDN w:val="0"/>
        <w:spacing w:line="360" w:lineRule="auto"/>
        <w:ind w:firstLine="560"/>
        <w:rPr>
          <w:rFonts w:ascii="仿宋" w:hAnsi="仿宋" w:eastAsia="仿宋" w:cs="仿宋"/>
          <w:color w:val="333333"/>
          <w:kern w:val="0"/>
          <w:sz w:val="32"/>
          <w:szCs w:val="32"/>
          <w:lang w:val="zh-CN" w:bidi="ar"/>
        </w:rPr>
      </w:pPr>
      <w:r>
        <w:rPr>
          <w:rFonts w:hint="eastAsia" w:ascii="仿宋" w:hAnsi="仿宋" w:eastAsia="仿宋" w:cs="仿宋"/>
          <w:color w:val="333333"/>
          <w:kern w:val="0"/>
          <w:sz w:val="32"/>
          <w:szCs w:val="32"/>
          <w:lang w:bidi="ar"/>
        </w:rPr>
        <w:t>1</w:t>
      </w:r>
      <w:r>
        <w:rPr>
          <w:rFonts w:ascii="仿宋" w:hAnsi="仿宋" w:eastAsia="仿宋" w:cs="仿宋"/>
          <w:color w:val="333333"/>
          <w:kern w:val="0"/>
          <w:sz w:val="32"/>
          <w:szCs w:val="32"/>
          <w:lang w:bidi="ar"/>
        </w:rPr>
        <w:t>.4.2</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 xml:space="preserve">统一领导，分级负责。在呼和浩特市玉泉区安全生产委员会的统一领导组织和指挥协调下，应急管理局协调玉泉区人民政府相关部门按照各自职责和权限，负责有关危险化学品事故的应急管理和应急处置等工作。 </w:t>
      </w:r>
    </w:p>
    <w:p>
      <w:pPr>
        <w:autoSpaceDE w:val="0"/>
        <w:autoSpaceDN w:val="0"/>
        <w:spacing w:line="360" w:lineRule="auto"/>
        <w:ind w:firstLine="560"/>
        <w:rPr>
          <w:rFonts w:ascii="仿宋" w:hAnsi="仿宋" w:eastAsia="仿宋" w:cs="仿宋"/>
          <w:color w:val="333333"/>
          <w:kern w:val="0"/>
          <w:sz w:val="32"/>
          <w:szCs w:val="32"/>
          <w:lang w:val="zh-CN" w:bidi="ar"/>
        </w:rPr>
      </w:pPr>
      <w:r>
        <w:rPr>
          <w:rFonts w:hint="eastAsia" w:ascii="仿宋" w:hAnsi="仿宋" w:eastAsia="仿宋" w:cs="仿宋"/>
          <w:color w:val="333333"/>
          <w:kern w:val="0"/>
          <w:sz w:val="32"/>
          <w:szCs w:val="32"/>
          <w:lang w:bidi="ar"/>
        </w:rPr>
        <w:t>1</w:t>
      </w:r>
      <w:r>
        <w:rPr>
          <w:rFonts w:ascii="仿宋" w:hAnsi="仿宋" w:eastAsia="仿宋" w:cs="仿宋"/>
          <w:color w:val="333333"/>
          <w:kern w:val="0"/>
          <w:sz w:val="32"/>
          <w:szCs w:val="32"/>
          <w:lang w:bidi="ar"/>
        </w:rPr>
        <w:t>.4.3</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 xml:space="preserve">条块结合，属地为主。危险化学品事故现场应急处置的领导和指挥以地方政府为主，实行地方各级人民政府行政首长负责制。镇、街道、服务中心、村及社区应急管理应在玉泉区人民政府的领导下，充分发挥指导和协调作用。 </w:t>
      </w:r>
    </w:p>
    <w:p>
      <w:pPr>
        <w:autoSpaceDE w:val="0"/>
        <w:autoSpaceDN w:val="0"/>
        <w:spacing w:line="360" w:lineRule="auto"/>
        <w:ind w:firstLine="560"/>
        <w:rPr>
          <w:rFonts w:ascii="仿宋" w:hAnsi="仿宋" w:eastAsia="仿宋" w:cs="仿宋"/>
          <w:color w:val="333333"/>
          <w:kern w:val="0"/>
          <w:sz w:val="32"/>
          <w:szCs w:val="32"/>
          <w:lang w:val="zh-CN" w:bidi="ar"/>
        </w:rPr>
      </w:pPr>
      <w:r>
        <w:rPr>
          <w:rFonts w:ascii="仿宋" w:hAnsi="仿宋" w:eastAsia="仿宋" w:cs="仿宋"/>
          <w:color w:val="333333"/>
          <w:kern w:val="0"/>
          <w:sz w:val="32"/>
          <w:szCs w:val="32"/>
          <w:lang w:bidi="ar"/>
        </w:rPr>
        <w:t>1.4.4</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 xml:space="preserve">依靠科学，民主决策。采用先进技术，充分发挥专家作用，实行科学民主决策。利用先进的救援装备和技术，增强应急救援能力。 </w:t>
      </w:r>
    </w:p>
    <w:p>
      <w:pPr>
        <w:autoSpaceDE w:val="0"/>
        <w:autoSpaceDN w:val="0"/>
        <w:spacing w:line="360" w:lineRule="auto"/>
        <w:ind w:firstLine="560"/>
        <w:rPr>
          <w:rFonts w:ascii="仿宋" w:hAnsi="仿宋" w:eastAsia="仿宋" w:cs="仿宋"/>
          <w:color w:val="333333"/>
          <w:kern w:val="0"/>
          <w:sz w:val="32"/>
          <w:szCs w:val="32"/>
          <w:lang w:val="zh-CN" w:bidi="ar"/>
        </w:rPr>
      </w:pPr>
      <w:r>
        <w:rPr>
          <w:rFonts w:ascii="仿宋" w:hAnsi="仿宋" w:eastAsia="仿宋" w:cs="仿宋"/>
          <w:color w:val="333333"/>
          <w:kern w:val="0"/>
          <w:sz w:val="32"/>
          <w:szCs w:val="32"/>
          <w:lang w:bidi="ar"/>
        </w:rPr>
        <w:t>1.4.5</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依法规范，不断完善。依法规范应急救援工作，不断完善，确保应急预案的科学性、权威性和可操作性。</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92" w:name="_Toc32312"/>
      <w:bookmarkStart w:id="93" w:name="_Toc14903"/>
      <w:bookmarkStart w:id="94" w:name="_Toc23268"/>
      <w:bookmarkStart w:id="95" w:name="_Toc16742"/>
      <w:bookmarkStart w:id="96" w:name="_Toc8743"/>
      <w:bookmarkStart w:id="97" w:name="_Toc17719"/>
      <w:bookmarkStart w:id="98" w:name="_Toc13134"/>
      <w:bookmarkStart w:id="99" w:name="_Toc10337"/>
      <w:bookmarkStart w:id="100" w:name="_Toc20398"/>
      <w:bookmarkStart w:id="101" w:name="_Toc2465"/>
      <w:bookmarkStart w:id="102" w:name="_Toc13033"/>
      <w:r>
        <w:rPr>
          <w:rFonts w:hint="eastAsia" w:ascii="仿宋" w:hAnsi="仿宋" w:eastAsia="仿宋" w:cs="仿宋"/>
          <w:b/>
          <w:bCs/>
          <w:color w:val="333333"/>
          <w:sz w:val="32"/>
          <w:szCs w:val="32"/>
          <w:shd w:val="clear" w:color="auto" w:fill="FFFFFF"/>
        </w:rPr>
        <w:t>1.5 事故分级</w:t>
      </w:r>
      <w:bookmarkEnd w:id="92"/>
      <w:bookmarkEnd w:id="93"/>
      <w:bookmarkEnd w:id="94"/>
      <w:bookmarkEnd w:id="95"/>
      <w:bookmarkEnd w:id="96"/>
      <w:bookmarkEnd w:id="97"/>
      <w:bookmarkEnd w:id="98"/>
      <w:bookmarkEnd w:id="99"/>
      <w:bookmarkEnd w:id="100"/>
      <w:bookmarkEnd w:id="101"/>
      <w:bookmarkEnd w:id="102"/>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 xml:space="preserve">危险化学品生产安全事故按照造成的危害程度、波及范围、影响力大小、人员及财产损失等情况，将事故分为一般、较大、重大、特别重大四个等级。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w:t>
      </w:r>
      <w:r>
        <w:rPr>
          <w:rFonts w:ascii="仿宋" w:hAnsi="仿宋" w:eastAsia="仿宋" w:cs="仿宋"/>
          <w:color w:val="333333"/>
          <w:kern w:val="0"/>
          <w:sz w:val="32"/>
          <w:szCs w:val="32"/>
          <w:lang w:bidi="ar"/>
        </w:rPr>
        <w:t>.5.1</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 xml:space="preserve">一般事故：是指造成３人以下死亡（含失踪），或者10人以下重伤，或者危及3人以下生命安全，或者直接经济损失在50万元以上、1000万元以下，或者造成一定社会影响的事故。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w:t>
      </w:r>
      <w:r>
        <w:rPr>
          <w:rFonts w:ascii="仿宋" w:hAnsi="仿宋" w:eastAsia="仿宋" w:cs="仿宋"/>
          <w:color w:val="333333"/>
          <w:kern w:val="0"/>
          <w:sz w:val="32"/>
          <w:szCs w:val="32"/>
          <w:lang w:bidi="ar"/>
        </w:rPr>
        <w:t>.5.2</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 xml:space="preserve">较大事故：是指造成3人以上10人以下死亡（含失踪），或者10人以上50人以下重伤，或者危及3人以上10人以下生命安全，或者直接经济损失在1000万元以上、5000万元以下，或者造成较大社会影响的事故。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w:t>
      </w:r>
      <w:r>
        <w:rPr>
          <w:rFonts w:ascii="仿宋" w:hAnsi="仿宋" w:eastAsia="仿宋" w:cs="仿宋"/>
          <w:color w:val="333333"/>
          <w:kern w:val="0"/>
          <w:sz w:val="32"/>
          <w:szCs w:val="32"/>
          <w:lang w:bidi="ar"/>
        </w:rPr>
        <w:t>.5.3</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 xml:space="preserve">重大事故：是指造成10人以上30人以下死亡（含失踪），或者危及10人以上30人以下生命安全，或者50人以上100人以下重伤， 或者直接经济损失在5000元以上、1亿元以下，或者造成重大社会影响的事故。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w:t>
      </w:r>
      <w:r>
        <w:rPr>
          <w:rFonts w:ascii="仿宋" w:hAnsi="仿宋" w:eastAsia="仿宋" w:cs="仿宋"/>
          <w:color w:val="333333"/>
          <w:kern w:val="0"/>
          <w:sz w:val="32"/>
          <w:szCs w:val="32"/>
          <w:lang w:bidi="ar"/>
        </w:rPr>
        <w:t>.5.4</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 xml:space="preserve">特别重大事故：是指造成30人以上死亡（含失踪），或者危及30人以上生命安全，或者100人以上重伤，或者直接经济损失在１亿元以上，或者造成特别重大社会影响的事故。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对应上述事故等级，有关数量的表述中“以上”含本数，“以下”不含本数。</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103" w:name="_Toc22883"/>
      <w:bookmarkStart w:id="104" w:name="_Toc17275"/>
      <w:bookmarkStart w:id="105" w:name="_Toc19425"/>
      <w:bookmarkStart w:id="106" w:name="_Toc22297"/>
      <w:bookmarkStart w:id="107" w:name="_Toc1207"/>
      <w:bookmarkStart w:id="108" w:name="_Toc13869"/>
      <w:bookmarkStart w:id="109" w:name="_Toc18329"/>
      <w:bookmarkStart w:id="110" w:name="_Toc22043"/>
      <w:bookmarkStart w:id="111" w:name="_Toc25463"/>
      <w:bookmarkStart w:id="112" w:name="_Toc13812"/>
      <w:bookmarkStart w:id="113" w:name="_Toc15235"/>
      <w:r>
        <w:rPr>
          <w:rFonts w:hint="eastAsia" w:ascii="仿宋" w:hAnsi="仿宋" w:eastAsia="仿宋" w:cs="仿宋"/>
          <w:b/>
          <w:bCs/>
          <w:color w:val="333333"/>
          <w:sz w:val="32"/>
          <w:szCs w:val="32"/>
          <w:shd w:val="clear" w:color="auto" w:fill="FFFFFF"/>
        </w:rPr>
        <w:t xml:space="preserve">1.6 </w:t>
      </w:r>
      <w:bookmarkEnd w:id="103"/>
      <w:r>
        <w:rPr>
          <w:rFonts w:hint="eastAsia" w:ascii="仿宋" w:hAnsi="仿宋" w:eastAsia="仿宋" w:cs="仿宋"/>
          <w:b/>
          <w:bCs/>
          <w:color w:val="333333"/>
          <w:sz w:val="32"/>
          <w:szCs w:val="32"/>
          <w:shd w:val="clear" w:color="auto" w:fill="FFFFFF"/>
        </w:rPr>
        <w:t>响应分级</w:t>
      </w:r>
      <w:bookmarkEnd w:id="104"/>
      <w:bookmarkEnd w:id="105"/>
      <w:bookmarkEnd w:id="106"/>
      <w:bookmarkEnd w:id="107"/>
      <w:bookmarkEnd w:id="108"/>
      <w:bookmarkEnd w:id="109"/>
      <w:bookmarkEnd w:id="110"/>
      <w:bookmarkEnd w:id="111"/>
      <w:bookmarkEnd w:id="112"/>
      <w:bookmarkEnd w:id="113"/>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根据危险化学品生产安全事故的可控性、严重程度和影响范围，应急响应级别由高到低原则上分为一级、二级、三级。当启动一级响应时，由玉泉区人民政府决定启动，各应急工作小组立即进入备战状态做好先期处置工作，同时立即向呼和浩特市人民政府和呼和浩特市应急管理局报告事故情况，并协助呼和浩特市 人民政府开展应急救援工作。当启动二级响应时，由玉泉区分管应急管理常务副区长决定启动，立即向玉泉区人民政府及危险化学品生产安全事故应急指挥部报告事故情况。当启动三级响应时，由玉泉区应急管理局局长决定启动，同时立即向危险化学品生产安全应急指挥部领导报告事故情况。</w:t>
      </w:r>
    </w:p>
    <w:p>
      <w:pPr>
        <w:pStyle w:val="15"/>
        <w:widowControl/>
        <w:autoSpaceDE w:val="0"/>
        <w:autoSpaceDN w:val="0"/>
        <w:spacing w:after="120" w:line="384" w:lineRule="atLeast"/>
        <w:ind w:firstLine="640"/>
        <w:outlineLvl w:val="1"/>
        <w:rPr>
          <w:rFonts w:ascii="仿宋" w:hAnsi="仿宋" w:eastAsia="仿宋" w:cs="仿宋"/>
          <w:b/>
          <w:bCs/>
          <w:color w:val="333333"/>
          <w:sz w:val="32"/>
          <w:szCs w:val="32"/>
          <w:shd w:val="clear" w:color="auto" w:fill="FFFFFF"/>
          <w:lang w:bidi="ar"/>
        </w:rPr>
      </w:pPr>
      <w:bookmarkStart w:id="114" w:name="_Toc13665"/>
      <w:bookmarkStart w:id="115" w:name="_Toc14001"/>
      <w:bookmarkStart w:id="116" w:name="_Toc6018"/>
      <w:bookmarkStart w:id="117" w:name="_Toc8614"/>
      <w:bookmarkStart w:id="118" w:name="_Toc28146"/>
      <w:bookmarkStart w:id="119" w:name="_Toc23610"/>
      <w:bookmarkStart w:id="120" w:name="_Toc430"/>
      <w:bookmarkStart w:id="121" w:name="_Toc16240"/>
      <w:bookmarkStart w:id="122" w:name="_Toc2253"/>
      <w:bookmarkStart w:id="123" w:name="_Toc921"/>
      <w:r>
        <w:rPr>
          <w:rFonts w:hint="eastAsia" w:ascii="仿宋" w:hAnsi="仿宋" w:eastAsia="仿宋" w:cs="仿宋"/>
          <w:b/>
          <w:bCs/>
          <w:color w:val="333333"/>
          <w:sz w:val="32"/>
          <w:szCs w:val="32"/>
          <w:shd w:val="clear" w:color="auto" w:fill="FFFFFF"/>
          <w:lang w:bidi="ar"/>
        </w:rPr>
        <w:t>1.7 预案体系</w:t>
      </w:r>
      <w:bookmarkEnd w:id="114"/>
      <w:bookmarkEnd w:id="115"/>
      <w:bookmarkEnd w:id="116"/>
      <w:bookmarkEnd w:id="117"/>
      <w:bookmarkEnd w:id="118"/>
      <w:bookmarkEnd w:id="119"/>
      <w:bookmarkEnd w:id="120"/>
      <w:bookmarkEnd w:id="121"/>
      <w:bookmarkEnd w:id="122"/>
      <w:bookmarkEnd w:id="123"/>
    </w:p>
    <w:p>
      <w:pPr>
        <w:autoSpaceDE w:val="0"/>
        <w:autoSpaceDN w:val="0"/>
        <w:spacing w:line="360" w:lineRule="auto"/>
        <w:ind w:firstLine="560"/>
        <w:rPr>
          <w:rFonts w:ascii="仿宋" w:hAnsi="仿宋" w:eastAsia="仿宋" w:cs="仿宋"/>
          <w:color w:val="333333"/>
          <w:kern w:val="0"/>
          <w:sz w:val="32"/>
          <w:szCs w:val="32"/>
          <w:lang w:val="zh-CN" w:bidi="ar"/>
        </w:rPr>
      </w:pPr>
      <w:r>
        <w:rPr>
          <w:rFonts w:hint="eastAsia" w:ascii="仿宋" w:hAnsi="仿宋" w:eastAsia="仿宋" w:cs="仿宋"/>
          <w:color w:val="333333"/>
          <w:kern w:val="0"/>
          <w:sz w:val="32"/>
          <w:szCs w:val="32"/>
          <w:lang w:bidi="ar"/>
        </w:rPr>
        <w:t>玉泉</w:t>
      </w:r>
      <w:r>
        <w:rPr>
          <w:rFonts w:hint="eastAsia" w:ascii="仿宋" w:hAnsi="仿宋" w:eastAsia="仿宋" w:cs="仿宋"/>
          <w:color w:val="333333"/>
          <w:kern w:val="0"/>
          <w:sz w:val="32"/>
          <w:szCs w:val="32"/>
          <w:lang w:val="zh-CN" w:bidi="ar"/>
        </w:rPr>
        <w:t>区应急预案分为总体预案、专项预案、部门预案，本专项预案为《呼和浩特市危险化学品事故应急预案》的下位预案、《</w:t>
      </w:r>
      <w:r>
        <w:rPr>
          <w:rFonts w:hint="eastAsia" w:ascii="仿宋" w:hAnsi="仿宋" w:eastAsia="仿宋" w:cs="仿宋"/>
          <w:color w:val="333333"/>
          <w:kern w:val="0"/>
          <w:sz w:val="32"/>
          <w:szCs w:val="32"/>
          <w:lang w:bidi="ar"/>
        </w:rPr>
        <w:t>呼和浩特市玉泉</w:t>
      </w:r>
      <w:r>
        <w:rPr>
          <w:rFonts w:hint="eastAsia" w:ascii="仿宋" w:hAnsi="仿宋" w:eastAsia="仿宋" w:cs="仿宋"/>
          <w:color w:val="333333"/>
          <w:kern w:val="0"/>
          <w:sz w:val="32"/>
          <w:szCs w:val="32"/>
          <w:lang w:val="zh-CN" w:bidi="ar"/>
        </w:rPr>
        <w:t>区突发事件总体应急预案》的专项预案，</w:t>
      </w:r>
      <w:r>
        <w:rPr>
          <w:rFonts w:hint="eastAsia" w:ascii="仿宋" w:hAnsi="仿宋" w:eastAsia="仿宋" w:cs="仿宋"/>
          <w:color w:val="333333"/>
          <w:kern w:val="0"/>
          <w:sz w:val="32"/>
          <w:szCs w:val="32"/>
          <w:lang w:bidi="ar"/>
        </w:rPr>
        <w:t>小黑河镇人民政府、各街道办事处、云中路服务中心、各村及社区</w:t>
      </w:r>
      <w:r>
        <w:rPr>
          <w:rFonts w:hint="eastAsia" w:ascii="仿宋" w:hAnsi="仿宋" w:eastAsia="仿宋" w:cs="仿宋"/>
          <w:color w:val="333333"/>
          <w:kern w:val="0"/>
          <w:sz w:val="32"/>
          <w:szCs w:val="32"/>
          <w:lang w:val="zh-CN" w:bidi="ar"/>
        </w:rPr>
        <w:t>危险化学品事故应急预案应与</w:t>
      </w:r>
      <w:r>
        <w:rPr>
          <w:rFonts w:hint="eastAsia" w:ascii="仿宋" w:hAnsi="仿宋" w:eastAsia="仿宋" w:cs="仿宋"/>
          <w:color w:val="333333"/>
          <w:kern w:val="0"/>
          <w:sz w:val="32"/>
          <w:szCs w:val="32"/>
          <w:lang w:bidi="ar"/>
        </w:rPr>
        <w:t>玉泉</w:t>
      </w:r>
      <w:r>
        <w:rPr>
          <w:rFonts w:hint="eastAsia" w:ascii="仿宋" w:hAnsi="仿宋" w:eastAsia="仿宋" w:cs="仿宋"/>
          <w:color w:val="333333"/>
          <w:kern w:val="0"/>
          <w:sz w:val="32"/>
          <w:szCs w:val="32"/>
          <w:lang w:val="zh-CN" w:bidi="ar"/>
        </w:rPr>
        <w:t>区危险化学品事故应急预案衔接，同时其他专项应急预案应与本预案相协调。</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val="zh-CN" w:bidi="ar"/>
        </w:rPr>
        <w:t>辖区企事业单位特别是高危行业、重点单位应遵循本预案的规定和要求，由单位自行制订危险化学品事故应急预案并组织实施，报</w:t>
      </w:r>
      <w:r>
        <w:rPr>
          <w:rFonts w:hint="eastAsia" w:ascii="仿宋" w:hAnsi="仿宋" w:eastAsia="仿宋" w:cs="仿宋"/>
          <w:color w:val="333333"/>
          <w:kern w:val="0"/>
          <w:sz w:val="32"/>
          <w:szCs w:val="32"/>
          <w:lang w:bidi="ar"/>
        </w:rPr>
        <w:t>玉泉</w:t>
      </w:r>
      <w:r>
        <w:rPr>
          <w:rFonts w:hint="eastAsia" w:ascii="仿宋" w:hAnsi="仿宋" w:eastAsia="仿宋" w:cs="仿宋"/>
          <w:color w:val="333333"/>
          <w:kern w:val="0"/>
          <w:sz w:val="32"/>
          <w:szCs w:val="32"/>
          <w:lang w:val="zh-CN" w:bidi="ar"/>
        </w:rPr>
        <w:t>区应急管理部门备案。</w:t>
      </w:r>
    </w:p>
    <w:p>
      <w:pPr>
        <w:pStyle w:val="3"/>
        <w:adjustRightInd w:val="0"/>
        <w:snapToGrid w:val="0"/>
        <w:ind w:firstLine="642" w:firstLineChars="200"/>
        <w:rPr>
          <w:rFonts w:hint="default" w:eastAsia="仿宋"/>
          <w:b/>
          <w:sz w:val="32"/>
        </w:rPr>
      </w:pPr>
      <w:bookmarkStart w:id="124" w:name="_Toc17669"/>
      <w:bookmarkStart w:id="125" w:name="_Toc25672"/>
      <w:bookmarkStart w:id="126" w:name="_Toc26429"/>
      <w:bookmarkStart w:id="127" w:name="_Toc25367"/>
      <w:bookmarkStart w:id="128" w:name="_Toc3133"/>
      <w:bookmarkStart w:id="129" w:name="_Toc14310"/>
      <w:bookmarkStart w:id="130" w:name="_Toc21071"/>
      <w:bookmarkStart w:id="131" w:name="_Toc4847"/>
      <w:bookmarkStart w:id="132" w:name="_Toc31507"/>
      <w:bookmarkStart w:id="133" w:name="_Toc5013"/>
      <w:bookmarkStart w:id="134" w:name="_Toc21093"/>
      <w:r>
        <w:rPr>
          <w:rFonts w:eastAsia="仿宋"/>
          <w:b/>
          <w:sz w:val="32"/>
        </w:rPr>
        <w:t>2 应急组织体系与职责</w:t>
      </w:r>
      <w:bookmarkEnd w:id="124"/>
      <w:bookmarkEnd w:id="125"/>
      <w:bookmarkEnd w:id="126"/>
      <w:bookmarkEnd w:id="127"/>
      <w:bookmarkEnd w:id="128"/>
      <w:bookmarkEnd w:id="129"/>
      <w:bookmarkEnd w:id="130"/>
      <w:bookmarkEnd w:id="131"/>
      <w:bookmarkEnd w:id="132"/>
      <w:bookmarkEnd w:id="133"/>
      <w:bookmarkEnd w:id="134"/>
    </w:p>
    <w:p>
      <w:pPr>
        <w:autoSpaceDE w:val="0"/>
        <w:autoSpaceDN w:val="0"/>
        <w:spacing w:line="360" w:lineRule="auto"/>
        <w:ind w:firstLine="560"/>
        <w:rPr>
          <w:rFonts w:ascii="仿宋" w:hAnsi="仿宋" w:eastAsia="仿宋" w:cs="仿宋"/>
          <w:color w:val="333333"/>
          <w:kern w:val="0"/>
          <w:sz w:val="32"/>
          <w:szCs w:val="32"/>
          <w:lang w:val="zh-CN" w:bidi="ar"/>
        </w:rPr>
      </w:pPr>
      <w:r>
        <w:rPr>
          <w:rFonts w:hint="eastAsia" w:ascii="仿宋" w:hAnsi="仿宋" w:eastAsia="仿宋" w:cs="仿宋"/>
          <w:color w:val="333333"/>
          <w:kern w:val="0"/>
          <w:sz w:val="32"/>
          <w:szCs w:val="32"/>
          <w:lang w:bidi="ar"/>
        </w:rPr>
        <w:t>呼和浩特市玉泉区人民政府是全区突发事件应急领导机构。玉泉区危险化学品生产安全事故应急指挥部在玉泉区人民政府的统一领导、指挥协调下，组织开展危险化学品生产安全事故应急处置工作。</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135" w:name="_Toc20919"/>
      <w:bookmarkStart w:id="136" w:name="_Toc1687"/>
      <w:bookmarkStart w:id="137" w:name="_Toc13554"/>
      <w:bookmarkStart w:id="138" w:name="_Toc27033"/>
      <w:bookmarkStart w:id="139" w:name="_Toc20748"/>
      <w:bookmarkStart w:id="140" w:name="_Toc28854"/>
      <w:bookmarkStart w:id="141" w:name="_Toc7422"/>
      <w:bookmarkStart w:id="142" w:name="_Toc21884"/>
      <w:bookmarkStart w:id="143" w:name="_Toc16578"/>
      <w:bookmarkStart w:id="144" w:name="_Toc17325"/>
      <w:bookmarkStart w:id="145" w:name="_Toc12750"/>
      <w:r>
        <w:rPr>
          <w:rFonts w:hint="eastAsia" w:ascii="仿宋" w:hAnsi="仿宋" w:eastAsia="仿宋" w:cs="仿宋"/>
          <w:b/>
          <w:bCs/>
          <w:color w:val="333333"/>
          <w:sz w:val="32"/>
          <w:szCs w:val="32"/>
          <w:shd w:val="clear" w:color="auto" w:fill="FFFFFF"/>
        </w:rPr>
        <w:t>2.1 危险化学品生产安全事故应急指挥部组成及职责</w:t>
      </w:r>
      <w:bookmarkEnd w:id="135"/>
      <w:bookmarkEnd w:id="136"/>
      <w:bookmarkEnd w:id="137"/>
      <w:bookmarkEnd w:id="138"/>
      <w:bookmarkEnd w:id="139"/>
      <w:bookmarkEnd w:id="140"/>
      <w:bookmarkEnd w:id="141"/>
      <w:bookmarkEnd w:id="142"/>
      <w:bookmarkEnd w:id="143"/>
      <w:bookmarkEnd w:id="144"/>
      <w:bookmarkEnd w:id="145"/>
      <w:r>
        <w:rPr>
          <w:rFonts w:hint="eastAsia" w:ascii="仿宋" w:hAnsi="仿宋" w:eastAsia="仿宋" w:cs="仿宋"/>
          <w:b/>
          <w:bCs/>
          <w:color w:val="333333"/>
          <w:sz w:val="32"/>
          <w:szCs w:val="32"/>
          <w:shd w:val="clear" w:color="auto" w:fill="FFFFFF"/>
        </w:rPr>
        <w:t xml:space="preserve"> </w:t>
      </w:r>
    </w:p>
    <w:p>
      <w:pPr>
        <w:autoSpaceDE w:val="0"/>
        <w:autoSpaceDN w:val="0"/>
        <w:spacing w:line="360" w:lineRule="auto"/>
        <w:ind w:firstLine="640" w:firstLineChars="200"/>
        <w:rPr>
          <w:rFonts w:ascii="仿宋" w:hAnsi="仿宋" w:eastAsia="仿宋" w:cs="仿宋"/>
          <w:color w:val="333333"/>
          <w:kern w:val="0"/>
          <w:sz w:val="32"/>
          <w:szCs w:val="32"/>
          <w:lang w:bidi="ar"/>
        </w:rPr>
      </w:pPr>
      <w:bookmarkStart w:id="146" w:name="_Toc2192"/>
      <w:bookmarkStart w:id="147" w:name="_Toc25704"/>
      <w:r>
        <w:rPr>
          <w:rFonts w:hint="eastAsia" w:ascii="仿宋" w:hAnsi="仿宋" w:eastAsia="仿宋" w:cs="仿宋"/>
          <w:color w:val="333333"/>
          <w:kern w:val="0"/>
          <w:sz w:val="32"/>
          <w:szCs w:val="32"/>
          <w:lang w:bidi="ar"/>
        </w:rPr>
        <w:t>2.1.1 危险化学品生产安全事故应急指挥部组成</w:t>
      </w:r>
      <w:bookmarkEnd w:id="146"/>
      <w:bookmarkEnd w:id="147"/>
      <w:r>
        <w:rPr>
          <w:rFonts w:hint="eastAsia" w:ascii="仿宋" w:hAnsi="仿宋" w:eastAsia="仿宋" w:cs="仿宋"/>
          <w:color w:val="333333"/>
          <w:kern w:val="0"/>
          <w:sz w:val="32"/>
          <w:szCs w:val="32"/>
          <w:lang w:bidi="ar"/>
        </w:rPr>
        <w:t xml:space="preserve">     </w:t>
      </w:r>
    </w:p>
    <w:p>
      <w:pPr>
        <w:autoSpaceDE w:val="0"/>
        <w:autoSpaceDN w:val="0"/>
        <w:spacing w:line="360" w:lineRule="auto"/>
        <w:ind w:firstLine="560"/>
        <w:rPr>
          <w:rFonts w:ascii="仿宋" w:hAnsi="仿宋" w:eastAsia="仿宋" w:cs="仿宋"/>
          <w:color w:val="333333"/>
          <w:kern w:val="0"/>
          <w:sz w:val="32"/>
          <w:szCs w:val="32"/>
          <w:lang w:val="zh-CN" w:bidi="ar"/>
        </w:rPr>
      </w:pPr>
      <w:r>
        <w:rPr>
          <w:rFonts w:hint="eastAsia" w:ascii="仿宋" w:hAnsi="仿宋" w:eastAsia="仿宋" w:cs="仿宋"/>
          <w:color w:val="333333"/>
          <w:kern w:val="0"/>
          <w:sz w:val="32"/>
          <w:szCs w:val="32"/>
          <w:lang w:bidi="ar"/>
        </w:rPr>
        <w:t xml:space="preserve">在玉泉区人民政府统一领导下，成立危险化学品生产安全事故应急指挥部。 </w:t>
      </w:r>
    </w:p>
    <w:p>
      <w:pPr>
        <w:autoSpaceDE w:val="0"/>
        <w:autoSpaceDN w:val="0"/>
        <w:spacing w:line="360" w:lineRule="auto"/>
        <w:ind w:firstLine="560"/>
        <w:rPr>
          <w:rFonts w:ascii="仿宋" w:hAnsi="仿宋" w:eastAsia="仿宋" w:cs="仿宋"/>
          <w:color w:val="333333"/>
          <w:kern w:val="0"/>
          <w:sz w:val="32"/>
          <w:szCs w:val="32"/>
          <w:lang w:val="zh-CN" w:bidi="ar"/>
        </w:rPr>
      </w:pPr>
      <w:r>
        <w:rPr>
          <w:rFonts w:hint="eastAsia" w:ascii="仿宋" w:hAnsi="仿宋" w:eastAsia="仿宋" w:cs="仿宋"/>
          <w:color w:val="333333"/>
          <w:kern w:val="0"/>
          <w:sz w:val="32"/>
          <w:szCs w:val="32"/>
          <w:lang w:bidi="ar"/>
        </w:rPr>
        <w:t xml:space="preserve">指 挥 长：玉泉区区长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副指挥长：分管应急管理常务副区长</w:t>
      </w:r>
    </w:p>
    <w:p>
      <w:pPr>
        <w:autoSpaceDE w:val="0"/>
        <w:autoSpaceDN w:val="0"/>
        <w:spacing w:line="360" w:lineRule="auto"/>
        <w:ind w:firstLine="2240" w:firstLineChars="7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玉泉区应急管理局局长</w:t>
      </w:r>
    </w:p>
    <w:p>
      <w:pPr>
        <w:autoSpaceDE w:val="0"/>
        <w:autoSpaceDN w:val="0"/>
        <w:spacing w:line="360" w:lineRule="auto"/>
        <w:ind w:firstLine="2240" w:firstLineChars="7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玉泉区消防救援大队大队长</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成员单位：由玉泉区应急管理局、宣传部、公安分局、财政局、卫健委、市生态环境局玉泉分局、民政局、工信局、市场局、城管局、玉泉消防救援大队、玉泉交警大队、事发地镇、街道、服务中心、村及社区等单位有关负责人组成。危险化学品生产安全事故应急指挥部根据工作实际需要可增加成员单位，新增成员单位按照部门职能参与应急处置和救援工作。各成员单位应建立应急联动工作机制，明确联系人及联系方式，保证联络通畅，并加强与其他应急机构的衔接配合。</w:t>
      </w:r>
    </w:p>
    <w:p>
      <w:pPr>
        <w:autoSpaceDE w:val="0"/>
        <w:autoSpaceDN w:val="0"/>
        <w:spacing w:line="360" w:lineRule="auto"/>
        <w:ind w:firstLine="560"/>
        <w:rPr>
          <w:rFonts w:ascii="仿宋" w:hAnsi="仿宋" w:eastAsia="仿宋" w:cs="仿宋"/>
          <w:color w:val="333333"/>
          <w:kern w:val="0"/>
          <w:sz w:val="32"/>
          <w:szCs w:val="32"/>
          <w:lang w:bidi="ar"/>
        </w:rPr>
      </w:pPr>
      <w:bookmarkStart w:id="148" w:name="_Toc10810"/>
      <w:bookmarkStart w:id="149" w:name="_Toc22121"/>
      <w:r>
        <w:rPr>
          <w:rFonts w:hint="eastAsia" w:ascii="仿宋" w:hAnsi="仿宋" w:eastAsia="仿宋" w:cs="仿宋"/>
          <w:color w:val="333333"/>
          <w:kern w:val="0"/>
          <w:sz w:val="32"/>
          <w:szCs w:val="32"/>
          <w:lang w:bidi="ar"/>
        </w:rPr>
        <w:t>2.1.2 危险化学品生产安全事故应急指挥部职责</w:t>
      </w:r>
      <w:bookmarkEnd w:id="148"/>
      <w:bookmarkEnd w:id="149"/>
    </w:p>
    <w:p>
      <w:pPr>
        <w:autoSpaceDE w:val="0"/>
        <w:autoSpaceDN w:val="0"/>
        <w:spacing w:line="360" w:lineRule="auto"/>
        <w:ind w:firstLine="560"/>
        <w:rPr>
          <w:rFonts w:ascii="仿宋" w:hAnsi="仿宋" w:eastAsia="仿宋" w:cs="仿宋"/>
          <w:color w:val="333333"/>
          <w:kern w:val="0"/>
          <w:sz w:val="32"/>
          <w:szCs w:val="32"/>
          <w:lang w:bidi="ar"/>
        </w:rPr>
      </w:pPr>
      <w:bookmarkStart w:id="150" w:name="_Hlk103265938"/>
      <w:r>
        <w:rPr>
          <w:rFonts w:hint="eastAsia" w:ascii="仿宋" w:hAnsi="仿宋" w:eastAsia="仿宋" w:cs="仿宋"/>
          <w:color w:val="333333"/>
          <w:kern w:val="0"/>
          <w:sz w:val="32"/>
          <w:szCs w:val="32"/>
          <w:lang w:bidi="ar"/>
        </w:rPr>
        <w:t>（1）负责贯彻落实国家、自治区、市、玉泉区关于应急管理工作的决策部署，统一领导玉泉区各类危险化学品事故的防范和应对工作。</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（2）根据救援工作需要，成立现场指挥部，指挥各应急工作组参与事故救援，指定承担事故核心区救援指挥工作的具体部门。</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（3）根据危险化学品事故发展态势和处置需要，派出工作组，指导小黑河镇人民政府、各街道办事处、云中路服务中心、各村及社区和相关企（事）业单位做好危险化学品事故的处置工作。</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（4）指导协助危险化学品事故的调查评估和善后处置工作。</w:t>
      </w:r>
      <w:bookmarkEnd w:id="150"/>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（5）督促各应急工作组按照救援任务制订工作方案并实施，接受各应急工作组的工作汇报。</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（6）负责现场处置沟通协调、督查督办、信息报送，材料汇总等综合工作。</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（7）针对事故引发或可能引发的次生、衍生事故，适时通知相邻地区人民政府。</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（8）发现可能直接危及应急救援人员生命安全的紧急情况时，应当立即采取相应措施消除隐患、化解或者降低风险，必要时可撤离应急救援人员。</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（9）负责处置一般生产安全事故，同时负责较大及以上生产安全事故的先期处置工作。</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玉泉区危险化学品生产安全事故应急指挥部根据应急处置工作需要适时组建现场指挥部，统一指挥和协调现场应急处置工作。现场指挥部领导由现场指挥长、现场副指挥长组成。</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151" w:name="_Toc25800"/>
      <w:bookmarkStart w:id="152" w:name="_Toc19943"/>
      <w:bookmarkStart w:id="153" w:name="_Toc6637"/>
      <w:bookmarkStart w:id="154" w:name="_Toc32483"/>
      <w:bookmarkStart w:id="155" w:name="_Toc17640"/>
      <w:bookmarkStart w:id="156" w:name="_Toc15385"/>
      <w:bookmarkStart w:id="157" w:name="_Toc21959"/>
      <w:bookmarkStart w:id="158" w:name="_Toc17237"/>
      <w:bookmarkStart w:id="159" w:name="_Toc19286"/>
      <w:bookmarkStart w:id="160" w:name="_Toc19608"/>
      <w:bookmarkStart w:id="161" w:name="_Toc8284"/>
      <w:r>
        <w:rPr>
          <w:rFonts w:hint="eastAsia" w:ascii="仿宋" w:hAnsi="仿宋" w:eastAsia="仿宋" w:cs="仿宋"/>
          <w:b/>
          <w:bCs/>
          <w:color w:val="333333"/>
          <w:sz w:val="32"/>
          <w:szCs w:val="32"/>
          <w:shd w:val="clear" w:color="auto" w:fill="FFFFFF"/>
        </w:rPr>
        <w:t xml:space="preserve">2.2 </w:t>
      </w:r>
      <w:bookmarkStart w:id="162" w:name="_Toc16080"/>
      <w:bookmarkStart w:id="163" w:name="_Toc9520"/>
      <w:r>
        <w:rPr>
          <w:rFonts w:hint="eastAsia" w:ascii="仿宋" w:hAnsi="仿宋" w:eastAsia="仿宋" w:cs="仿宋"/>
          <w:b/>
          <w:bCs/>
          <w:color w:val="333333"/>
          <w:sz w:val="32"/>
          <w:szCs w:val="32"/>
          <w:shd w:val="clear" w:color="auto" w:fill="FFFFFF"/>
        </w:rPr>
        <w:t>危险化学品生产安全事故现场应急指挥部组成及职责</w:t>
      </w:r>
      <w:bookmarkEnd w:id="151"/>
      <w:bookmarkEnd w:id="152"/>
      <w:bookmarkEnd w:id="153"/>
      <w:bookmarkEnd w:id="154"/>
      <w:bookmarkEnd w:id="155"/>
      <w:bookmarkEnd w:id="156"/>
      <w:bookmarkEnd w:id="157"/>
      <w:bookmarkEnd w:id="158"/>
      <w:bookmarkEnd w:id="159"/>
      <w:bookmarkEnd w:id="160"/>
      <w:bookmarkEnd w:id="161"/>
      <w:bookmarkEnd w:id="162"/>
      <w:bookmarkEnd w:id="163"/>
    </w:p>
    <w:p>
      <w:pPr>
        <w:autoSpaceDE w:val="0"/>
        <w:autoSpaceDN w:val="0"/>
        <w:spacing w:line="360" w:lineRule="auto"/>
        <w:ind w:firstLine="640" w:firstLineChars="200"/>
        <w:rPr>
          <w:rFonts w:ascii="仿宋" w:hAnsi="仿宋" w:eastAsia="仿宋" w:cs="仿宋"/>
          <w:color w:val="333333"/>
          <w:kern w:val="0"/>
          <w:sz w:val="32"/>
          <w:szCs w:val="32"/>
          <w:lang w:bidi="ar"/>
        </w:rPr>
      </w:pPr>
      <w:bookmarkStart w:id="164" w:name="_Toc17945"/>
      <w:bookmarkStart w:id="165" w:name="_Toc16363"/>
      <w:r>
        <w:rPr>
          <w:rFonts w:hint="eastAsia" w:ascii="仿宋" w:hAnsi="仿宋" w:eastAsia="仿宋" w:cs="仿宋"/>
          <w:color w:val="333333"/>
          <w:kern w:val="0"/>
          <w:sz w:val="32"/>
          <w:szCs w:val="32"/>
          <w:lang w:bidi="ar"/>
        </w:rPr>
        <w:t>2.2.1危险化学品生产安全事故现场指挥部组成</w:t>
      </w:r>
      <w:bookmarkEnd w:id="164"/>
      <w:bookmarkEnd w:id="165"/>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 xml:space="preserve"> 玉泉区危险化学品生产安全事故应急指挥部根据应急处置工作需要适时组建现场指挥部，统一指挥和协调现场应急处置工作。现场指挥部领导由现场指挥长、现场副指挥长组成。</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现场指挥长：玉泉区应急管理局局长担任，负责现场决策和指挥工作，指挥调度现场应急救援队伍和应急资源，依职权调拨或申请调拨应急资金。</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现场副指挥长：玉泉区应急管理局分管危化的副局长（配合现场指挥长开展应急处置工作）、消防救援大队负责人（负责危险化学品生产安全事故现场消防救援工作）、生态环境局玉泉分局副局长担任。</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设立专家顾问组，由玉泉区危险化学品生产安全事故应急指挥部根据需要抽调有关专家，开展突发事件应急处置和救援、调查评估等决策咨询服务工作。</w:t>
      </w:r>
    </w:p>
    <w:p>
      <w:pPr>
        <w:autoSpaceDE w:val="0"/>
        <w:autoSpaceDN w:val="0"/>
        <w:spacing w:line="360" w:lineRule="auto"/>
        <w:ind w:firstLine="560"/>
        <w:rPr>
          <w:rFonts w:ascii="仿宋" w:hAnsi="仿宋" w:eastAsia="仿宋" w:cs="仿宋"/>
          <w:color w:val="333333"/>
          <w:kern w:val="0"/>
          <w:sz w:val="32"/>
          <w:szCs w:val="32"/>
          <w:lang w:bidi="ar"/>
        </w:rPr>
      </w:pPr>
      <w:bookmarkStart w:id="166" w:name="_Toc19948"/>
      <w:bookmarkStart w:id="167" w:name="_Toc4555"/>
      <w:r>
        <w:rPr>
          <w:rFonts w:hint="eastAsia" w:ascii="仿宋" w:hAnsi="仿宋" w:eastAsia="仿宋" w:cs="仿宋"/>
          <w:color w:val="333333"/>
          <w:kern w:val="0"/>
          <w:sz w:val="32"/>
          <w:szCs w:val="32"/>
          <w:lang w:bidi="ar"/>
        </w:rPr>
        <w:t>2.2.2 危险化学品生产安全事故现场指挥部职责</w:t>
      </w:r>
      <w:bookmarkEnd w:id="166"/>
      <w:bookmarkEnd w:id="167"/>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（1）负责现场处置沟通协调、督查督办、信息报送，材料汇总等综合工作。</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（2）分析研判生产安全事故全局性风险，组织生产安全事件的协调处置工作。</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（3）负责玉泉区辖区内一般生产安全事故应急处置，协调各应急工作组开展应急处置工作。</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（4）当发生较大以上生产安全事故，超出玉泉区处置能力时，请求市级、自治区、国家相关部门支援，并根据需要开展先期处置。</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（5）组织制订应急处置方案，向各应急工作小组下达工作任务。</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（6）督促各应急工作组按照救援任务制订工作方案并实施，接受各应急工作组的工作汇报。</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（7）及时向玉泉区人民政府、危险化学品生产安全事故应急指挥部报告应急救援处置、事态评估情况和工作建议，落实玉泉区人民政府有关决定事项和批示、指示。</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参加事故现场救援的相关部门、有关单位和个人应当服从玉泉区危险化学品生产安全事故应急指挥部和现场指挥部的统一指挥。</w:t>
      </w:r>
    </w:p>
    <w:bookmarkEnd w:id="89"/>
    <w:bookmarkEnd w:id="90"/>
    <w:bookmarkEnd w:id="91"/>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168" w:name="_Toc27331"/>
      <w:bookmarkStart w:id="169" w:name="_Toc14570"/>
      <w:bookmarkStart w:id="170" w:name="_Toc13464"/>
      <w:bookmarkStart w:id="171" w:name="_Toc9984"/>
      <w:bookmarkStart w:id="172" w:name="_Toc10050"/>
      <w:bookmarkStart w:id="173" w:name="_Toc22968"/>
      <w:bookmarkStart w:id="174" w:name="_Toc32750"/>
      <w:bookmarkStart w:id="175" w:name="_Toc12688"/>
      <w:bookmarkStart w:id="176" w:name="_Toc21439"/>
      <w:bookmarkStart w:id="177" w:name="_Toc7646"/>
      <w:bookmarkStart w:id="178" w:name="_Toc11952"/>
      <w:r>
        <w:rPr>
          <w:rFonts w:hint="eastAsia" w:ascii="仿宋" w:hAnsi="仿宋" w:eastAsia="仿宋" w:cs="仿宋"/>
          <w:b/>
          <w:bCs/>
          <w:color w:val="333333"/>
          <w:sz w:val="32"/>
          <w:szCs w:val="32"/>
          <w:shd w:val="clear" w:color="auto" w:fill="FFFFFF"/>
        </w:rPr>
        <w:t>2.3 日常办事机构及职责</w:t>
      </w:r>
      <w:bookmarkEnd w:id="168"/>
      <w:bookmarkEnd w:id="169"/>
      <w:bookmarkEnd w:id="170"/>
      <w:bookmarkEnd w:id="171"/>
      <w:bookmarkEnd w:id="172"/>
      <w:bookmarkEnd w:id="173"/>
      <w:bookmarkEnd w:id="174"/>
      <w:bookmarkEnd w:id="175"/>
      <w:bookmarkEnd w:id="176"/>
      <w:bookmarkEnd w:id="177"/>
      <w:bookmarkEnd w:id="178"/>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危险化学品生产安全事故应急指挥部下设办公室，设在玉泉区应急管理局，具体承担危险化学品生产安全事故应急指挥部日常工作，办公室主任由玉泉区应急管理局局长担任，玉泉区危险化学品生产安全应急指挥部办公室实行24小时值班，值班电话：0471-3825093。主要职责是：</w:t>
      </w:r>
    </w:p>
    <w:p>
      <w:pPr>
        <w:autoSpaceDE w:val="0"/>
        <w:autoSpaceDN w:val="0"/>
        <w:spacing w:line="360" w:lineRule="auto"/>
        <w:ind w:firstLine="560"/>
        <w:rPr>
          <w:rFonts w:ascii="仿宋" w:hAnsi="仿宋" w:eastAsia="仿宋" w:cs="仿宋"/>
          <w:color w:val="333333"/>
          <w:kern w:val="0"/>
          <w:sz w:val="32"/>
          <w:szCs w:val="32"/>
          <w:lang w:bidi="ar"/>
        </w:rPr>
      </w:pPr>
      <w:bookmarkStart w:id="179" w:name="_Toc26313"/>
      <w:bookmarkStart w:id="180" w:name="_Toc2664"/>
      <w:r>
        <w:rPr>
          <w:rFonts w:hint="eastAsia" w:ascii="仿宋" w:hAnsi="仿宋" w:eastAsia="仿宋" w:cs="仿宋"/>
          <w:color w:val="333333"/>
          <w:kern w:val="0"/>
          <w:sz w:val="32"/>
          <w:szCs w:val="32"/>
          <w:lang w:bidi="ar"/>
        </w:rPr>
        <w:t>2</w:t>
      </w:r>
      <w:r>
        <w:rPr>
          <w:rFonts w:ascii="仿宋" w:hAnsi="仿宋" w:eastAsia="仿宋" w:cs="仿宋"/>
          <w:color w:val="333333"/>
          <w:kern w:val="0"/>
          <w:sz w:val="32"/>
          <w:szCs w:val="32"/>
          <w:lang w:bidi="ar"/>
        </w:rPr>
        <w:t>.3.1</w:t>
      </w:r>
      <w:r>
        <w:rPr>
          <w:rFonts w:hint="eastAsia" w:ascii="仿宋" w:hAnsi="仿宋" w:eastAsia="仿宋" w:cs="仿宋"/>
          <w:color w:val="333333"/>
          <w:kern w:val="0"/>
          <w:sz w:val="32"/>
          <w:szCs w:val="32"/>
          <w:lang w:bidi="ar"/>
        </w:rPr>
        <w:t>统筹危险化学品事故救援抢险应急物资及装备的储备、调用。</w:t>
      </w:r>
      <w:bookmarkEnd w:id="179"/>
      <w:bookmarkEnd w:id="180"/>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w:t>
      </w:r>
      <w:r>
        <w:rPr>
          <w:rFonts w:ascii="仿宋" w:hAnsi="仿宋" w:eastAsia="仿宋" w:cs="仿宋"/>
          <w:color w:val="333333"/>
          <w:kern w:val="0"/>
          <w:sz w:val="32"/>
          <w:szCs w:val="32"/>
          <w:lang w:bidi="ar"/>
        </w:rPr>
        <w:t>.3.2</w:t>
      </w:r>
      <w:r>
        <w:rPr>
          <w:rFonts w:hint="eastAsia" w:ascii="仿宋" w:hAnsi="仿宋" w:eastAsia="仿宋" w:cs="仿宋"/>
          <w:color w:val="333333"/>
          <w:kern w:val="0"/>
          <w:sz w:val="32"/>
          <w:szCs w:val="32"/>
          <w:lang w:bidi="ar"/>
        </w:rPr>
        <w:t>组织落实生产安全事故应急指挥部决定，协调、调动成员单位开展生产安全事故应急救援相关工作。</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w:t>
      </w:r>
      <w:r>
        <w:rPr>
          <w:rFonts w:ascii="仿宋" w:hAnsi="仿宋" w:eastAsia="仿宋" w:cs="仿宋"/>
          <w:color w:val="333333"/>
          <w:kern w:val="0"/>
          <w:sz w:val="32"/>
          <w:szCs w:val="32"/>
          <w:lang w:bidi="ar"/>
        </w:rPr>
        <w:t>.3.3</w:t>
      </w:r>
      <w:r>
        <w:rPr>
          <w:rFonts w:hint="eastAsia" w:ascii="仿宋" w:hAnsi="仿宋" w:eastAsia="仿宋" w:cs="仿宋"/>
          <w:color w:val="333333"/>
          <w:kern w:val="0"/>
          <w:sz w:val="32"/>
          <w:szCs w:val="32"/>
          <w:lang w:bidi="ar"/>
        </w:rPr>
        <w:t>组织收集、分析有关工作信息，及时上报危险化学品事故重要信息。</w:t>
      </w:r>
    </w:p>
    <w:p>
      <w:pPr>
        <w:autoSpaceDE w:val="0"/>
        <w:autoSpaceDN w:val="0"/>
        <w:spacing w:line="360" w:lineRule="auto"/>
        <w:ind w:firstLine="560"/>
        <w:rPr>
          <w:rFonts w:ascii="仿宋" w:hAnsi="仿宋" w:eastAsia="仿宋" w:cs="仿宋"/>
          <w:color w:val="333333"/>
          <w:kern w:val="0"/>
          <w:sz w:val="32"/>
          <w:szCs w:val="32"/>
          <w:lang w:bidi="ar"/>
        </w:rPr>
      </w:pPr>
      <w:bookmarkStart w:id="181" w:name="_Toc16208"/>
      <w:bookmarkStart w:id="182" w:name="_Toc21160"/>
      <w:r>
        <w:rPr>
          <w:rFonts w:hint="eastAsia" w:ascii="仿宋" w:hAnsi="仿宋" w:eastAsia="仿宋" w:cs="仿宋"/>
          <w:color w:val="333333"/>
          <w:kern w:val="0"/>
          <w:sz w:val="32"/>
          <w:szCs w:val="32"/>
          <w:lang w:bidi="ar"/>
        </w:rPr>
        <w:t>2</w:t>
      </w:r>
      <w:r>
        <w:rPr>
          <w:rFonts w:ascii="仿宋" w:hAnsi="仿宋" w:eastAsia="仿宋" w:cs="仿宋"/>
          <w:color w:val="333333"/>
          <w:kern w:val="0"/>
          <w:sz w:val="32"/>
          <w:szCs w:val="32"/>
          <w:lang w:bidi="ar"/>
        </w:rPr>
        <w:t>.3.4</w:t>
      </w:r>
      <w:r>
        <w:rPr>
          <w:rFonts w:hint="eastAsia" w:ascii="仿宋" w:hAnsi="仿宋" w:eastAsia="仿宋" w:cs="仿宋"/>
          <w:color w:val="333333"/>
          <w:kern w:val="0"/>
          <w:sz w:val="32"/>
          <w:szCs w:val="32"/>
          <w:lang w:bidi="ar"/>
        </w:rPr>
        <w:t>制定、修订危险化学品事故专项应急预案。</w:t>
      </w:r>
      <w:bookmarkEnd w:id="181"/>
      <w:bookmarkEnd w:id="182"/>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w:t>
      </w:r>
      <w:r>
        <w:rPr>
          <w:rFonts w:ascii="仿宋" w:hAnsi="仿宋" w:eastAsia="仿宋" w:cs="仿宋"/>
          <w:color w:val="333333"/>
          <w:kern w:val="0"/>
          <w:sz w:val="32"/>
          <w:szCs w:val="32"/>
          <w:lang w:bidi="ar"/>
        </w:rPr>
        <w:t>.3.5</w:t>
      </w:r>
      <w:r>
        <w:rPr>
          <w:rFonts w:hint="eastAsia" w:ascii="仿宋" w:hAnsi="仿宋" w:eastAsia="仿宋" w:cs="仿宋"/>
          <w:color w:val="333333"/>
          <w:kern w:val="0"/>
          <w:sz w:val="32"/>
          <w:szCs w:val="32"/>
          <w:lang w:bidi="ar"/>
        </w:rPr>
        <w:t>组织生产安全事故防范和隐患排查治理工作，开展桌面演练、实战演练等应对危险化学品事故专项训练，协调各方面力量参加危险化学品事故应急处置行动。</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w:t>
      </w:r>
      <w:r>
        <w:rPr>
          <w:rFonts w:ascii="仿宋" w:hAnsi="仿宋" w:eastAsia="仿宋" w:cs="仿宋"/>
          <w:color w:val="333333"/>
          <w:kern w:val="0"/>
          <w:sz w:val="32"/>
          <w:szCs w:val="32"/>
          <w:lang w:bidi="ar"/>
        </w:rPr>
        <w:t>.3.6</w:t>
      </w:r>
      <w:r>
        <w:rPr>
          <w:rFonts w:hint="eastAsia" w:ascii="仿宋" w:hAnsi="仿宋" w:eastAsia="仿宋" w:cs="仿宋"/>
          <w:color w:val="333333"/>
          <w:kern w:val="0"/>
          <w:sz w:val="32"/>
          <w:szCs w:val="32"/>
          <w:lang w:bidi="ar"/>
        </w:rPr>
        <w:t>协助玉泉区人民政府指定的负责人员组织危险化学品事故的应急处置工作，协调组织危险化学品事故调查、善后处置及发布事故信息等工作。</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w:t>
      </w:r>
      <w:r>
        <w:rPr>
          <w:rFonts w:ascii="仿宋" w:hAnsi="仿宋" w:eastAsia="仿宋" w:cs="仿宋"/>
          <w:color w:val="333333"/>
          <w:kern w:val="0"/>
          <w:sz w:val="32"/>
          <w:szCs w:val="32"/>
          <w:lang w:bidi="ar"/>
        </w:rPr>
        <w:t>.3.7</w:t>
      </w:r>
      <w:r>
        <w:rPr>
          <w:rFonts w:hint="eastAsia" w:ascii="仿宋" w:hAnsi="仿宋" w:eastAsia="仿宋" w:cs="仿宋"/>
          <w:color w:val="333333"/>
          <w:kern w:val="0"/>
          <w:sz w:val="32"/>
          <w:szCs w:val="32"/>
          <w:lang w:bidi="ar"/>
        </w:rPr>
        <w:t>协助生产安全事故应急指挥部开展风险监测预防工作，组织协调有关应急救援队伍和专家库的建设与管理。</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w:t>
      </w:r>
      <w:r>
        <w:rPr>
          <w:rFonts w:ascii="仿宋" w:hAnsi="仿宋" w:eastAsia="仿宋" w:cs="仿宋"/>
          <w:color w:val="333333"/>
          <w:kern w:val="0"/>
          <w:sz w:val="32"/>
          <w:szCs w:val="32"/>
          <w:lang w:bidi="ar"/>
        </w:rPr>
        <w:t>.3.8</w:t>
      </w:r>
      <w:r>
        <w:rPr>
          <w:rFonts w:hint="eastAsia" w:ascii="仿宋" w:hAnsi="仿宋" w:eastAsia="仿宋" w:cs="仿宋"/>
          <w:color w:val="333333"/>
          <w:kern w:val="0"/>
          <w:sz w:val="32"/>
          <w:szCs w:val="32"/>
          <w:lang w:bidi="ar"/>
        </w:rPr>
        <w:t>指导小黑河镇人民政府、各街道办事处、云中路服务中心、各村及社区危险化学品事故应急处置等工作。</w:t>
      </w:r>
    </w:p>
    <w:p>
      <w:pPr>
        <w:autoSpaceDE w:val="0"/>
        <w:autoSpaceDN w:val="0"/>
        <w:spacing w:line="360" w:lineRule="auto"/>
        <w:ind w:firstLine="560"/>
        <w:rPr>
          <w:rFonts w:ascii="仿宋" w:hAnsi="仿宋" w:eastAsia="仿宋" w:cs="仿宋"/>
          <w:color w:val="333333"/>
          <w:kern w:val="0"/>
          <w:sz w:val="32"/>
          <w:szCs w:val="32"/>
          <w:lang w:bidi="ar"/>
        </w:rPr>
      </w:pPr>
      <w:bookmarkStart w:id="183" w:name="_Toc10060"/>
      <w:bookmarkStart w:id="184" w:name="_Toc4573"/>
      <w:r>
        <w:rPr>
          <w:rFonts w:hint="eastAsia" w:ascii="仿宋" w:hAnsi="仿宋" w:eastAsia="仿宋" w:cs="仿宋"/>
          <w:color w:val="333333"/>
          <w:kern w:val="0"/>
          <w:sz w:val="32"/>
          <w:szCs w:val="32"/>
          <w:lang w:bidi="ar"/>
        </w:rPr>
        <w:t>2</w:t>
      </w:r>
      <w:r>
        <w:rPr>
          <w:rFonts w:ascii="仿宋" w:hAnsi="仿宋" w:eastAsia="仿宋" w:cs="仿宋"/>
          <w:color w:val="333333"/>
          <w:kern w:val="0"/>
          <w:sz w:val="32"/>
          <w:szCs w:val="32"/>
          <w:lang w:bidi="ar"/>
        </w:rPr>
        <w:t>.3.9</w:t>
      </w:r>
      <w:r>
        <w:rPr>
          <w:rFonts w:hint="eastAsia" w:ascii="仿宋" w:hAnsi="仿宋" w:eastAsia="仿宋" w:cs="仿宋"/>
          <w:color w:val="333333"/>
          <w:kern w:val="0"/>
          <w:sz w:val="32"/>
          <w:szCs w:val="32"/>
          <w:lang w:bidi="ar"/>
        </w:rPr>
        <w:t>承担生产安全事故应急指挥部日常工作。</w:t>
      </w:r>
      <w:bookmarkEnd w:id="183"/>
      <w:bookmarkEnd w:id="184"/>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185" w:name="_Toc7022"/>
      <w:bookmarkStart w:id="186" w:name="_Toc25728"/>
      <w:bookmarkStart w:id="187" w:name="_Toc4492"/>
      <w:bookmarkStart w:id="188" w:name="_Toc28327"/>
      <w:bookmarkStart w:id="189" w:name="_Toc5310"/>
      <w:bookmarkStart w:id="190" w:name="_Toc1068"/>
      <w:bookmarkStart w:id="191" w:name="_Toc11733"/>
      <w:bookmarkStart w:id="192" w:name="_Toc14254"/>
      <w:bookmarkStart w:id="193" w:name="_Toc294"/>
      <w:bookmarkStart w:id="194" w:name="_Toc6269"/>
      <w:bookmarkStart w:id="195" w:name="_Toc7158"/>
      <w:bookmarkStart w:id="196" w:name="_Toc13282"/>
      <w:r>
        <w:rPr>
          <w:rFonts w:hint="eastAsia" w:ascii="仿宋" w:hAnsi="仿宋" w:eastAsia="仿宋" w:cs="仿宋"/>
          <w:b/>
          <w:bCs/>
          <w:color w:val="333333"/>
          <w:sz w:val="32"/>
          <w:szCs w:val="32"/>
          <w:shd w:val="clear" w:color="auto" w:fill="FFFFFF"/>
        </w:rPr>
        <w:t>2.4 专业工作组</w:t>
      </w:r>
      <w:bookmarkEnd w:id="185"/>
      <w:bookmarkEnd w:id="186"/>
      <w:bookmarkEnd w:id="187"/>
      <w:bookmarkEnd w:id="188"/>
      <w:bookmarkEnd w:id="189"/>
      <w:bookmarkEnd w:id="190"/>
      <w:bookmarkEnd w:id="191"/>
      <w:bookmarkEnd w:id="192"/>
      <w:bookmarkEnd w:id="193"/>
      <w:bookmarkEnd w:id="194"/>
      <w:bookmarkEnd w:id="195"/>
      <w:bookmarkEnd w:id="196"/>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危险化学品生产安全事故应急指挥部成立综合协调组、专业处置组、综合保障组、安全疏散组、医疗救治组、环境保护组、新闻发布组、专家顾问组和事故调查组共9个专业小组。根据事故情况及抢救需要指挥长可视情调整工作组、组成单位，协调调度应急队伍、专家和装备、物资等应急资源。</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bookmarkStart w:id="197" w:name="_Toc30349"/>
      <w:bookmarkStart w:id="198" w:name="_Toc23536"/>
      <w:bookmarkStart w:id="199" w:name="_Toc20253"/>
      <w:r>
        <w:rPr>
          <w:rFonts w:hint="eastAsia" w:ascii="仿宋" w:hAnsi="仿宋" w:eastAsia="仿宋" w:cs="仿宋"/>
          <w:color w:val="333333"/>
          <w:kern w:val="0"/>
          <w:sz w:val="32"/>
          <w:szCs w:val="32"/>
          <w:shd w:val="clear" w:color="auto" w:fill="FFFFFF"/>
          <w:lang w:bidi="ar"/>
        </w:rPr>
        <w:t>2</w:t>
      </w:r>
      <w:r>
        <w:rPr>
          <w:rFonts w:ascii="仿宋" w:hAnsi="仿宋" w:eastAsia="仿宋" w:cs="仿宋"/>
          <w:color w:val="333333"/>
          <w:kern w:val="0"/>
          <w:sz w:val="32"/>
          <w:szCs w:val="32"/>
          <w:shd w:val="clear" w:color="auto" w:fill="FFFFFF"/>
          <w:lang w:bidi="ar"/>
        </w:rPr>
        <w:t>.4.1</w:t>
      </w:r>
      <w:r>
        <w:rPr>
          <w:rFonts w:hint="eastAsia" w:ascii="仿宋" w:hAnsi="仿宋" w:eastAsia="仿宋" w:cs="仿宋"/>
          <w:color w:val="333333"/>
          <w:kern w:val="0"/>
          <w:sz w:val="32"/>
          <w:szCs w:val="32"/>
          <w:shd w:val="clear" w:color="auto" w:fill="FFFFFF"/>
          <w:lang w:val="en-US" w:eastAsia="zh-CN" w:bidi="ar"/>
        </w:rPr>
        <w:t xml:space="preserve"> </w:t>
      </w:r>
      <w:r>
        <w:rPr>
          <w:rFonts w:hint="eastAsia" w:ascii="仿宋" w:hAnsi="仿宋" w:eastAsia="仿宋" w:cs="仿宋"/>
          <w:color w:val="333333"/>
          <w:kern w:val="0"/>
          <w:sz w:val="32"/>
          <w:szCs w:val="32"/>
          <w:shd w:val="clear" w:color="auto" w:fill="FFFFFF"/>
          <w:lang w:bidi="ar"/>
        </w:rPr>
        <w:t>综合协调组</w:t>
      </w:r>
      <w:bookmarkEnd w:id="197"/>
      <w:bookmarkEnd w:id="198"/>
      <w:bookmarkEnd w:id="199"/>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组成部门：玉泉区人民政府牵头、</w:t>
      </w:r>
      <w:r>
        <w:rPr>
          <w:rFonts w:hint="eastAsia" w:ascii="仿宋" w:hAnsi="仿宋" w:eastAsia="仿宋" w:cs="仿宋"/>
          <w:color w:val="333333"/>
          <w:kern w:val="0"/>
          <w:sz w:val="32"/>
          <w:szCs w:val="32"/>
          <w:shd w:val="clear" w:color="auto" w:fill="FFFFFF"/>
          <w:lang w:val="en-US" w:eastAsia="zh-CN" w:bidi="ar"/>
        </w:rPr>
        <w:t>玉泉区</w:t>
      </w:r>
      <w:r>
        <w:rPr>
          <w:rFonts w:hint="eastAsia" w:ascii="仿宋" w:hAnsi="仿宋" w:eastAsia="仿宋" w:cs="仿宋"/>
          <w:color w:val="333333"/>
          <w:kern w:val="0"/>
          <w:sz w:val="32"/>
          <w:szCs w:val="32"/>
          <w:shd w:val="clear" w:color="auto" w:fill="FFFFFF"/>
          <w:lang w:bidi="ar"/>
        </w:rPr>
        <w:t>应急管理局等相关部门组成。</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主要职责：</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承担现场指挥的综合协调、指令接收转发、信息收集上报、调配应急力量和资源等工作；协调武警部队参与事故救援工作；组织做好现场处置工作的总结评估，提出改进措施与建议；做好应急救援工作文件、影像资料的搜集、整理、保管和归档等工作。</w:t>
      </w:r>
    </w:p>
    <w:p>
      <w:pPr>
        <w:numPr>
          <w:ilvl w:val="255"/>
          <w:numId w:val="0"/>
        </w:numPr>
        <w:autoSpaceDE w:val="0"/>
        <w:autoSpaceDN w:val="0"/>
        <w:spacing w:line="360" w:lineRule="auto"/>
        <w:ind w:firstLine="560"/>
        <w:rPr>
          <w:rFonts w:ascii="仿宋" w:hAnsi="仿宋" w:eastAsia="仿宋" w:cs="仿宋"/>
          <w:color w:val="333333"/>
          <w:kern w:val="0"/>
          <w:sz w:val="32"/>
          <w:szCs w:val="32"/>
          <w:lang w:bidi="ar"/>
        </w:rPr>
      </w:pPr>
      <w:bookmarkStart w:id="200" w:name="_Toc7543"/>
      <w:bookmarkStart w:id="201" w:name="_Toc6283"/>
      <w:r>
        <w:rPr>
          <w:rFonts w:hint="eastAsia" w:ascii="仿宋" w:hAnsi="仿宋" w:eastAsia="仿宋" w:cs="仿宋"/>
          <w:color w:val="333333"/>
          <w:kern w:val="0"/>
          <w:sz w:val="32"/>
          <w:szCs w:val="32"/>
          <w:lang w:bidi="ar"/>
        </w:rPr>
        <w:t>2</w:t>
      </w:r>
      <w:r>
        <w:rPr>
          <w:rFonts w:ascii="仿宋" w:hAnsi="仿宋" w:eastAsia="仿宋" w:cs="仿宋"/>
          <w:color w:val="333333"/>
          <w:kern w:val="0"/>
          <w:sz w:val="32"/>
          <w:szCs w:val="32"/>
          <w:lang w:bidi="ar"/>
        </w:rPr>
        <w:t>.4.2</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专业处置组</w:t>
      </w:r>
      <w:bookmarkEnd w:id="200"/>
      <w:bookmarkEnd w:id="201"/>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组成部门：玉泉区消防救援大队牵头、公安分局、水务局、住房</w:t>
      </w:r>
      <w:r>
        <w:rPr>
          <w:rFonts w:hint="eastAsia" w:ascii="仿宋" w:hAnsi="仿宋" w:eastAsia="仿宋" w:cs="仿宋"/>
          <w:color w:val="333333"/>
          <w:kern w:val="0"/>
          <w:sz w:val="32"/>
          <w:szCs w:val="32"/>
          <w:shd w:val="clear" w:color="auto" w:fill="FFFFFF"/>
          <w:lang w:eastAsia="zh-CN" w:bidi="ar"/>
        </w:rPr>
        <w:t>和</w:t>
      </w:r>
      <w:r>
        <w:rPr>
          <w:rFonts w:hint="eastAsia" w:ascii="仿宋" w:hAnsi="仿宋" w:eastAsia="仿宋" w:cs="仿宋"/>
          <w:color w:val="333333"/>
          <w:kern w:val="0"/>
          <w:sz w:val="32"/>
          <w:szCs w:val="32"/>
          <w:shd w:val="clear" w:color="auto" w:fill="FFFFFF"/>
          <w:lang w:bidi="ar"/>
        </w:rPr>
        <w:t>城乡建设局、发改委等相关部门组成。</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主要职责：</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控制火灾爆炸、坍塌及次生和衍生危害，负责组织对受灾人员的搜救。</w:t>
      </w:r>
    </w:p>
    <w:p>
      <w:pPr>
        <w:autoSpaceDE w:val="0"/>
        <w:autoSpaceDN w:val="0"/>
        <w:spacing w:line="360" w:lineRule="auto"/>
        <w:ind w:firstLine="560"/>
        <w:rPr>
          <w:rFonts w:ascii="仿宋" w:hAnsi="仿宋" w:eastAsia="仿宋" w:cs="仿宋"/>
          <w:color w:val="333333"/>
          <w:kern w:val="0"/>
          <w:sz w:val="32"/>
          <w:szCs w:val="32"/>
          <w:lang w:bidi="ar"/>
        </w:rPr>
      </w:pPr>
      <w:bookmarkStart w:id="202" w:name="_Toc9065"/>
      <w:bookmarkStart w:id="203" w:name="_Toc26390"/>
      <w:r>
        <w:rPr>
          <w:rFonts w:hint="eastAsia" w:ascii="仿宋" w:hAnsi="仿宋" w:eastAsia="仿宋" w:cs="仿宋"/>
          <w:color w:val="333333"/>
          <w:kern w:val="0"/>
          <w:sz w:val="32"/>
          <w:szCs w:val="32"/>
          <w:shd w:val="clear" w:color="auto" w:fill="FFFFFF"/>
          <w:lang w:bidi="ar"/>
        </w:rPr>
        <w:t>2</w:t>
      </w:r>
      <w:r>
        <w:rPr>
          <w:rFonts w:ascii="仿宋" w:hAnsi="仿宋" w:eastAsia="仿宋" w:cs="仿宋"/>
          <w:color w:val="333333"/>
          <w:kern w:val="0"/>
          <w:sz w:val="32"/>
          <w:szCs w:val="32"/>
          <w:shd w:val="clear" w:color="auto" w:fill="FFFFFF"/>
          <w:lang w:bidi="ar"/>
        </w:rPr>
        <w:t>.4.3</w:t>
      </w:r>
      <w:r>
        <w:rPr>
          <w:rFonts w:hint="eastAsia" w:ascii="仿宋" w:hAnsi="仿宋" w:eastAsia="仿宋" w:cs="仿宋"/>
          <w:color w:val="333333"/>
          <w:kern w:val="0"/>
          <w:sz w:val="32"/>
          <w:szCs w:val="32"/>
          <w:shd w:val="clear" w:color="auto" w:fill="FFFFFF"/>
          <w:lang w:val="en-US" w:eastAsia="zh-CN" w:bidi="ar"/>
        </w:rPr>
        <w:t xml:space="preserve"> </w:t>
      </w:r>
      <w:r>
        <w:rPr>
          <w:rFonts w:hint="eastAsia" w:ascii="仿宋" w:hAnsi="仿宋" w:eastAsia="仿宋" w:cs="仿宋"/>
          <w:color w:val="333333"/>
          <w:kern w:val="0"/>
          <w:sz w:val="32"/>
          <w:szCs w:val="32"/>
          <w:shd w:val="clear" w:color="auto" w:fill="FFFFFF"/>
          <w:lang w:bidi="ar"/>
        </w:rPr>
        <w:t>综合保障组</w:t>
      </w:r>
      <w:bookmarkEnd w:id="202"/>
      <w:bookmarkEnd w:id="203"/>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组成部门：玉泉区人民政府牵头，应急管理局、</w:t>
      </w:r>
      <w:r>
        <w:rPr>
          <w:rFonts w:hint="eastAsia" w:ascii="仿宋" w:hAnsi="仿宋" w:eastAsia="仿宋" w:cs="仿宋"/>
          <w:color w:val="333333"/>
          <w:kern w:val="0"/>
          <w:sz w:val="32"/>
          <w:szCs w:val="32"/>
          <w:shd w:val="clear" w:color="auto" w:fill="FFFFFF"/>
          <w:lang w:val="en-US" w:eastAsia="zh-CN" w:bidi="ar"/>
        </w:rPr>
        <w:t>发改委</w:t>
      </w:r>
      <w:r>
        <w:rPr>
          <w:rFonts w:hint="eastAsia" w:ascii="仿宋" w:hAnsi="仿宋" w:eastAsia="仿宋" w:cs="仿宋"/>
          <w:color w:val="333333"/>
          <w:kern w:val="0"/>
          <w:sz w:val="32"/>
          <w:szCs w:val="32"/>
          <w:shd w:val="clear" w:color="auto" w:fill="FFFFFF"/>
          <w:lang w:bidi="ar"/>
        </w:rPr>
        <w:t>、交通运输局组成。</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主要职责：</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协调组织设立现场指挥部办公场所，为现场抢险救援工作人员提供生活后勤保障，安置事故伤亡人员家属，调配车辆运输。</w:t>
      </w:r>
    </w:p>
    <w:p>
      <w:pPr>
        <w:autoSpaceDE w:val="0"/>
        <w:autoSpaceDN w:val="0"/>
        <w:spacing w:line="360" w:lineRule="auto"/>
        <w:ind w:firstLine="560"/>
        <w:rPr>
          <w:rFonts w:ascii="仿宋" w:hAnsi="仿宋" w:eastAsia="仿宋" w:cs="仿宋"/>
          <w:color w:val="333333"/>
          <w:kern w:val="0"/>
          <w:sz w:val="32"/>
          <w:szCs w:val="32"/>
          <w:lang w:bidi="ar"/>
        </w:rPr>
      </w:pPr>
      <w:bookmarkStart w:id="204" w:name="_Toc32150"/>
      <w:bookmarkStart w:id="205" w:name="_Toc27087"/>
      <w:r>
        <w:rPr>
          <w:rFonts w:hint="eastAsia" w:ascii="仿宋" w:hAnsi="仿宋" w:eastAsia="仿宋" w:cs="仿宋"/>
          <w:color w:val="333333"/>
          <w:kern w:val="0"/>
          <w:sz w:val="32"/>
          <w:szCs w:val="32"/>
          <w:shd w:val="clear" w:color="auto" w:fill="FFFFFF"/>
          <w:lang w:bidi="ar"/>
        </w:rPr>
        <w:t>2</w:t>
      </w:r>
      <w:r>
        <w:rPr>
          <w:rFonts w:ascii="仿宋" w:hAnsi="仿宋" w:eastAsia="仿宋" w:cs="仿宋"/>
          <w:color w:val="333333"/>
          <w:kern w:val="0"/>
          <w:sz w:val="32"/>
          <w:szCs w:val="32"/>
          <w:shd w:val="clear" w:color="auto" w:fill="FFFFFF"/>
          <w:lang w:bidi="ar"/>
        </w:rPr>
        <w:t>.4.4</w:t>
      </w:r>
      <w:r>
        <w:rPr>
          <w:rFonts w:hint="eastAsia" w:ascii="仿宋" w:hAnsi="仿宋" w:eastAsia="仿宋" w:cs="仿宋"/>
          <w:color w:val="333333"/>
          <w:kern w:val="0"/>
          <w:sz w:val="32"/>
          <w:szCs w:val="32"/>
          <w:shd w:val="clear" w:color="auto" w:fill="FFFFFF"/>
          <w:lang w:val="en-US" w:eastAsia="zh-CN" w:bidi="ar"/>
        </w:rPr>
        <w:t xml:space="preserve"> </w:t>
      </w:r>
      <w:r>
        <w:rPr>
          <w:rFonts w:hint="eastAsia" w:ascii="仿宋" w:hAnsi="仿宋" w:eastAsia="仿宋" w:cs="仿宋"/>
          <w:color w:val="333333"/>
          <w:kern w:val="0"/>
          <w:sz w:val="32"/>
          <w:szCs w:val="32"/>
          <w:shd w:val="clear" w:color="auto" w:fill="FFFFFF"/>
          <w:lang w:bidi="ar"/>
        </w:rPr>
        <w:t>安全疏散组</w:t>
      </w:r>
      <w:bookmarkEnd w:id="204"/>
      <w:bookmarkEnd w:id="205"/>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组成部门：玉泉区公安分局牵头，事发地政府及相关部门、事发单位安全保卫人员组成。</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主要职责：</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组织事故可能危及区域有关人员的紧急疏散、撤离工作；依据消防侦检数据结果，并参考专家顾问组意见，科学合理划定警戒区域；对事故现场进行保护、警戒、维持现场抢险救援秩序，维护社会治安。</w:t>
      </w:r>
    </w:p>
    <w:p>
      <w:pPr>
        <w:numPr>
          <w:ilvl w:val="255"/>
          <w:numId w:val="0"/>
        </w:numPr>
        <w:autoSpaceDE w:val="0"/>
        <w:autoSpaceDN w:val="0"/>
        <w:spacing w:line="360" w:lineRule="auto"/>
        <w:ind w:firstLine="560"/>
        <w:rPr>
          <w:rFonts w:ascii="仿宋" w:hAnsi="仿宋" w:eastAsia="仿宋" w:cs="仿宋"/>
          <w:color w:val="333333"/>
          <w:kern w:val="0"/>
          <w:sz w:val="32"/>
          <w:szCs w:val="32"/>
          <w:lang w:bidi="ar"/>
        </w:rPr>
      </w:pPr>
      <w:bookmarkStart w:id="206" w:name="_Toc17195"/>
      <w:bookmarkStart w:id="207" w:name="_Toc17950"/>
      <w:r>
        <w:rPr>
          <w:rFonts w:hint="eastAsia" w:ascii="仿宋" w:hAnsi="仿宋" w:eastAsia="仿宋" w:cs="仿宋"/>
          <w:color w:val="333333"/>
          <w:kern w:val="0"/>
          <w:sz w:val="32"/>
          <w:szCs w:val="32"/>
          <w:lang w:bidi="ar"/>
        </w:rPr>
        <w:t>2</w:t>
      </w:r>
      <w:r>
        <w:rPr>
          <w:rFonts w:ascii="仿宋" w:hAnsi="仿宋" w:eastAsia="仿宋" w:cs="仿宋"/>
          <w:color w:val="333333"/>
          <w:kern w:val="0"/>
          <w:sz w:val="32"/>
          <w:szCs w:val="32"/>
          <w:lang w:bidi="ar"/>
        </w:rPr>
        <w:t>.4.5</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医疗卫生组</w:t>
      </w:r>
      <w:bookmarkEnd w:id="206"/>
      <w:bookmarkEnd w:id="207"/>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组成部门：玉泉区卫健委</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主要职责：</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调度全区医疗队伍，设立临时医疗点，做好现场救援区域的防疫消毒；组织医疗救援队伍对伤员进行紧急医学救援和转运；向受伤人员和受灾群众提供应急心理救援。</w:t>
      </w:r>
    </w:p>
    <w:p>
      <w:pPr>
        <w:numPr>
          <w:ilvl w:val="255"/>
          <w:numId w:val="0"/>
        </w:numPr>
        <w:autoSpaceDE w:val="0"/>
        <w:autoSpaceDN w:val="0"/>
        <w:spacing w:line="360" w:lineRule="auto"/>
        <w:ind w:firstLine="560"/>
        <w:rPr>
          <w:rFonts w:ascii="仿宋" w:hAnsi="仿宋" w:eastAsia="仿宋" w:cs="仿宋"/>
          <w:color w:val="333333"/>
          <w:kern w:val="0"/>
          <w:sz w:val="32"/>
          <w:szCs w:val="32"/>
          <w:lang w:bidi="ar"/>
        </w:rPr>
      </w:pPr>
      <w:bookmarkStart w:id="208" w:name="_Toc29211"/>
      <w:bookmarkStart w:id="209" w:name="_Toc20759"/>
      <w:r>
        <w:rPr>
          <w:rFonts w:hint="eastAsia" w:ascii="仿宋" w:hAnsi="仿宋" w:eastAsia="仿宋" w:cs="仿宋"/>
          <w:color w:val="333333"/>
          <w:kern w:val="0"/>
          <w:sz w:val="32"/>
          <w:szCs w:val="32"/>
          <w:lang w:bidi="ar"/>
        </w:rPr>
        <w:t>2</w:t>
      </w:r>
      <w:r>
        <w:rPr>
          <w:rFonts w:ascii="仿宋" w:hAnsi="仿宋" w:eastAsia="仿宋" w:cs="仿宋"/>
          <w:color w:val="333333"/>
          <w:kern w:val="0"/>
          <w:sz w:val="32"/>
          <w:szCs w:val="32"/>
          <w:lang w:bidi="ar"/>
        </w:rPr>
        <w:t>.4.6</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环境保护组</w:t>
      </w:r>
      <w:bookmarkEnd w:id="208"/>
      <w:bookmarkEnd w:id="209"/>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组成部门：生态环境局玉泉分局</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主要职责：</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负责事故现场周边环境的实时监测，提供并分析监测数据；协助相关部门实施污染处置；监督事故中产生的危险废物无害化处置。</w:t>
      </w:r>
    </w:p>
    <w:p>
      <w:pPr>
        <w:numPr>
          <w:ilvl w:val="255"/>
          <w:numId w:val="0"/>
        </w:numPr>
        <w:autoSpaceDE w:val="0"/>
        <w:autoSpaceDN w:val="0"/>
        <w:spacing w:line="360" w:lineRule="auto"/>
        <w:ind w:left="420" w:leftChars="200"/>
        <w:rPr>
          <w:rFonts w:ascii="仿宋" w:hAnsi="仿宋" w:eastAsia="仿宋" w:cs="仿宋"/>
          <w:color w:val="333333"/>
          <w:kern w:val="0"/>
          <w:sz w:val="32"/>
          <w:szCs w:val="32"/>
          <w:shd w:val="clear" w:color="auto" w:fill="FFFFFF"/>
          <w:lang w:bidi="ar"/>
        </w:rPr>
      </w:pPr>
      <w:bookmarkStart w:id="210" w:name="_Toc10347"/>
      <w:bookmarkStart w:id="211" w:name="_Toc9455"/>
      <w:bookmarkStart w:id="212" w:name="_Toc29172"/>
      <w:r>
        <w:rPr>
          <w:rFonts w:hint="eastAsia" w:ascii="仿宋" w:hAnsi="仿宋" w:eastAsia="仿宋" w:cs="仿宋"/>
          <w:color w:val="333333"/>
          <w:kern w:val="0"/>
          <w:sz w:val="32"/>
          <w:szCs w:val="32"/>
          <w:shd w:val="clear" w:color="auto" w:fill="FFFFFF"/>
          <w:lang w:bidi="ar"/>
        </w:rPr>
        <w:t>2</w:t>
      </w:r>
      <w:r>
        <w:rPr>
          <w:rFonts w:ascii="仿宋" w:hAnsi="仿宋" w:eastAsia="仿宋" w:cs="仿宋"/>
          <w:color w:val="333333"/>
          <w:kern w:val="0"/>
          <w:sz w:val="32"/>
          <w:szCs w:val="32"/>
          <w:shd w:val="clear" w:color="auto" w:fill="FFFFFF"/>
          <w:lang w:bidi="ar"/>
        </w:rPr>
        <w:t>.4.7</w:t>
      </w:r>
      <w:r>
        <w:rPr>
          <w:rFonts w:hint="eastAsia" w:ascii="仿宋" w:hAnsi="仿宋" w:eastAsia="仿宋" w:cs="仿宋"/>
          <w:color w:val="333333"/>
          <w:kern w:val="0"/>
          <w:sz w:val="32"/>
          <w:szCs w:val="32"/>
          <w:shd w:val="clear" w:color="auto" w:fill="FFFFFF"/>
          <w:lang w:val="en-US" w:eastAsia="zh-CN" w:bidi="ar"/>
        </w:rPr>
        <w:t xml:space="preserve"> </w:t>
      </w:r>
      <w:r>
        <w:rPr>
          <w:rFonts w:hint="eastAsia" w:ascii="仿宋" w:hAnsi="仿宋" w:eastAsia="仿宋" w:cs="仿宋"/>
          <w:color w:val="333333"/>
          <w:kern w:val="0"/>
          <w:sz w:val="32"/>
          <w:szCs w:val="32"/>
          <w:shd w:val="clear" w:color="auto" w:fill="FFFFFF"/>
          <w:lang w:bidi="ar"/>
        </w:rPr>
        <w:t>新闻发布组</w:t>
      </w:r>
      <w:bookmarkEnd w:id="210"/>
      <w:bookmarkEnd w:id="211"/>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组成部门：由玉泉区人民政府宣传部牵头，应急管理局组成。</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组织起草新闻发布稿和烟花爆竹事故情况通告，制定新闻发布方案，组织接待记者，适时组织新闻发布，开展舆情监测和应对工作。</w:t>
      </w:r>
    </w:p>
    <w:p>
      <w:pPr>
        <w:numPr>
          <w:ilvl w:val="255"/>
          <w:numId w:val="0"/>
        </w:numPr>
        <w:autoSpaceDE w:val="0"/>
        <w:autoSpaceDN w:val="0"/>
        <w:spacing w:line="360" w:lineRule="auto"/>
        <w:ind w:left="420" w:leftChars="200"/>
        <w:rPr>
          <w:rFonts w:ascii="仿宋" w:hAnsi="仿宋" w:eastAsia="仿宋" w:cs="仿宋"/>
          <w:color w:val="333333"/>
          <w:kern w:val="0"/>
          <w:sz w:val="32"/>
          <w:szCs w:val="32"/>
          <w:shd w:val="clear" w:color="auto" w:fill="FFFFFF"/>
          <w:lang w:bidi="ar"/>
        </w:rPr>
      </w:pPr>
      <w:bookmarkStart w:id="213" w:name="_Toc15228"/>
      <w:bookmarkStart w:id="214" w:name="_Toc2021"/>
      <w:r>
        <w:rPr>
          <w:rFonts w:hint="eastAsia" w:ascii="仿宋" w:hAnsi="仿宋" w:eastAsia="仿宋" w:cs="仿宋"/>
          <w:color w:val="333333"/>
          <w:kern w:val="0"/>
          <w:sz w:val="32"/>
          <w:szCs w:val="32"/>
          <w:shd w:val="clear" w:color="auto" w:fill="FFFFFF"/>
          <w:lang w:bidi="ar"/>
        </w:rPr>
        <w:t>2</w:t>
      </w:r>
      <w:r>
        <w:rPr>
          <w:rFonts w:ascii="仿宋" w:hAnsi="仿宋" w:eastAsia="仿宋" w:cs="仿宋"/>
          <w:color w:val="333333"/>
          <w:kern w:val="0"/>
          <w:sz w:val="32"/>
          <w:szCs w:val="32"/>
          <w:shd w:val="clear" w:color="auto" w:fill="FFFFFF"/>
          <w:lang w:bidi="ar"/>
        </w:rPr>
        <w:t>.4.8</w:t>
      </w:r>
      <w:r>
        <w:rPr>
          <w:rFonts w:hint="eastAsia" w:ascii="仿宋" w:hAnsi="仿宋" w:eastAsia="仿宋" w:cs="仿宋"/>
          <w:color w:val="333333"/>
          <w:kern w:val="0"/>
          <w:sz w:val="32"/>
          <w:szCs w:val="32"/>
          <w:shd w:val="clear" w:color="auto" w:fill="FFFFFF"/>
          <w:lang w:val="en-US" w:eastAsia="zh-CN" w:bidi="ar"/>
        </w:rPr>
        <w:t xml:space="preserve"> </w:t>
      </w:r>
      <w:r>
        <w:rPr>
          <w:rFonts w:hint="eastAsia" w:ascii="仿宋" w:hAnsi="仿宋" w:eastAsia="仿宋" w:cs="仿宋"/>
          <w:color w:val="333333"/>
          <w:kern w:val="0"/>
          <w:sz w:val="32"/>
          <w:szCs w:val="32"/>
          <w:shd w:val="clear" w:color="auto" w:fill="FFFFFF"/>
          <w:lang w:bidi="ar"/>
        </w:rPr>
        <w:t>专家顾问组</w:t>
      </w:r>
      <w:bookmarkEnd w:id="213"/>
      <w:bookmarkEnd w:id="214"/>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组成部门：由玉泉区应急管理局牵头，从玉泉区人民政府的综合专家库中按专业需要组成。</w:t>
      </w:r>
    </w:p>
    <w:p>
      <w:pPr>
        <w:widowControl/>
        <w:autoSpaceDE w:val="0"/>
        <w:autoSpaceDN w:val="0"/>
        <w:adjustRightInd w:val="0"/>
        <w:snapToGrid w:val="0"/>
        <w:spacing w:after="160" w:line="360" w:lineRule="auto"/>
        <w:ind w:firstLine="560"/>
        <w:jc w:val="left"/>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 xml:space="preserve"> 主要职责：</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对事故进行预警会商，提出事故防范措施的建议；研究分析事故信息、灾害情况的演变，为各种可能的次生、衍生危害的防范提出建议；协助制定处置和救援的行动方案；为应急指挥决策提供意见和建议；生产安全事故应急指挥部的其他专家辅助工作。</w:t>
      </w:r>
    </w:p>
    <w:p>
      <w:pPr>
        <w:numPr>
          <w:ilvl w:val="255"/>
          <w:numId w:val="0"/>
        </w:numPr>
        <w:autoSpaceDE w:val="0"/>
        <w:autoSpaceDN w:val="0"/>
        <w:spacing w:line="360" w:lineRule="auto"/>
        <w:ind w:left="420" w:leftChars="200"/>
        <w:rPr>
          <w:rFonts w:ascii="仿宋" w:hAnsi="仿宋" w:eastAsia="仿宋" w:cs="仿宋"/>
          <w:color w:val="333333"/>
          <w:kern w:val="0"/>
          <w:sz w:val="32"/>
          <w:szCs w:val="32"/>
          <w:shd w:val="clear" w:color="auto" w:fill="FFFFFF"/>
          <w:lang w:bidi="ar"/>
        </w:rPr>
      </w:pPr>
      <w:bookmarkStart w:id="215" w:name="_Toc3716"/>
      <w:bookmarkStart w:id="216" w:name="_Toc24814"/>
      <w:r>
        <w:rPr>
          <w:rFonts w:hint="eastAsia" w:ascii="仿宋" w:hAnsi="仿宋" w:eastAsia="仿宋" w:cs="仿宋"/>
          <w:color w:val="333333"/>
          <w:kern w:val="0"/>
          <w:sz w:val="32"/>
          <w:szCs w:val="32"/>
          <w:shd w:val="clear" w:color="auto" w:fill="FFFFFF"/>
          <w:lang w:bidi="ar"/>
        </w:rPr>
        <w:t>2</w:t>
      </w:r>
      <w:r>
        <w:rPr>
          <w:rFonts w:ascii="仿宋" w:hAnsi="仿宋" w:eastAsia="仿宋" w:cs="仿宋"/>
          <w:color w:val="333333"/>
          <w:kern w:val="0"/>
          <w:sz w:val="32"/>
          <w:szCs w:val="32"/>
          <w:shd w:val="clear" w:color="auto" w:fill="FFFFFF"/>
          <w:lang w:bidi="ar"/>
        </w:rPr>
        <w:t>.4.9</w:t>
      </w:r>
      <w:r>
        <w:rPr>
          <w:rFonts w:hint="eastAsia" w:ascii="仿宋" w:hAnsi="仿宋" w:eastAsia="仿宋" w:cs="仿宋"/>
          <w:color w:val="333333"/>
          <w:kern w:val="0"/>
          <w:sz w:val="32"/>
          <w:szCs w:val="32"/>
          <w:shd w:val="clear" w:color="auto" w:fill="FFFFFF"/>
          <w:lang w:val="en-US" w:eastAsia="zh-CN" w:bidi="ar"/>
        </w:rPr>
        <w:t xml:space="preserve"> </w:t>
      </w:r>
      <w:r>
        <w:rPr>
          <w:rFonts w:hint="eastAsia" w:ascii="仿宋" w:hAnsi="仿宋" w:eastAsia="仿宋" w:cs="仿宋"/>
          <w:color w:val="333333"/>
          <w:kern w:val="0"/>
          <w:sz w:val="32"/>
          <w:szCs w:val="32"/>
          <w:shd w:val="clear" w:color="auto" w:fill="FFFFFF"/>
          <w:lang w:bidi="ar"/>
        </w:rPr>
        <w:t>事故调查组</w:t>
      </w:r>
      <w:bookmarkEnd w:id="215"/>
      <w:bookmarkEnd w:id="216"/>
    </w:p>
    <w:bookmarkEnd w:id="212"/>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bookmarkStart w:id="217" w:name="_Toc5045"/>
      <w:r>
        <w:rPr>
          <w:rFonts w:hint="eastAsia" w:ascii="仿宋" w:hAnsi="仿宋" w:eastAsia="仿宋" w:cs="仿宋"/>
          <w:color w:val="333333"/>
          <w:kern w:val="0"/>
          <w:sz w:val="32"/>
          <w:szCs w:val="32"/>
          <w:shd w:val="clear" w:color="auto" w:fill="FFFFFF"/>
          <w:lang w:bidi="ar"/>
        </w:rPr>
        <w:t>组成部门：玉泉区人民政府牵头，应急管理局、负有安全生产监督管理职责的有关部门、检察机关、公安机关、工会组成。</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主要职责：</w:t>
      </w:r>
    </w:p>
    <w:p>
      <w:pPr>
        <w:autoSpaceDE w:val="0"/>
        <w:autoSpaceDN w:val="0"/>
        <w:spacing w:line="360" w:lineRule="auto"/>
        <w:ind w:firstLine="560"/>
      </w:pPr>
      <w:r>
        <w:rPr>
          <w:rFonts w:hint="eastAsia" w:ascii="仿宋" w:hAnsi="仿宋" w:eastAsia="仿宋" w:cs="仿宋"/>
          <w:color w:val="333333"/>
          <w:kern w:val="0"/>
          <w:sz w:val="32"/>
          <w:szCs w:val="32"/>
          <w:shd w:val="clear" w:color="auto" w:fill="FFFFFF"/>
          <w:lang w:bidi="ar"/>
        </w:rPr>
        <w:t>收集事故现场有关物证；查明事故发生的经过、原因、人员伤亡情况及直接经济损失；认定事故的性质和事故责任；形成事故调查报告；提出事故处理意见及防范措施。</w:t>
      </w:r>
      <w:bookmarkEnd w:id="217"/>
    </w:p>
    <w:p>
      <w:pPr>
        <w:pStyle w:val="3"/>
        <w:adjustRightInd w:val="0"/>
        <w:snapToGrid w:val="0"/>
        <w:ind w:firstLine="642" w:firstLineChars="200"/>
        <w:rPr>
          <w:rFonts w:hint="default" w:eastAsia="仿宋"/>
          <w:b/>
          <w:sz w:val="32"/>
        </w:rPr>
      </w:pPr>
      <w:bookmarkStart w:id="218" w:name="_Toc18759"/>
      <w:bookmarkStart w:id="219" w:name="_Toc19345"/>
      <w:bookmarkStart w:id="220" w:name="_Toc4797"/>
      <w:bookmarkStart w:id="221" w:name="_Toc7579"/>
      <w:bookmarkStart w:id="222" w:name="_Toc10308"/>
      <w:bookmarkStart w:id="223" w:name="_Toc15540"/>
      <w:bookmarkStart w:id="224" w:name="_Toc25573"/>
      <w:bookmarkStart w:id="225" w:name="_Toc1942"/>
      <w:bookmarkStart w:id="226" w:name="_Toc22153"/>
      <w:bookmarkStart w:id="227" w:name="_Toc19250"/>
      <w:bookmarkStart w:id="228" w:name="_Toc16846"/>
      <w:r>
        <w:rPr>
          <w:rFonts w:eastAsia="仿宋"/>
          <w:b/>
          <w:sz w:val="32"/>
        </w:rPr>
        <w:t>3</w:t>
      </w:r>
      <w:r>
        <w:rPr>
          <w:rFonts w:hint="eastAsia" w:eastAsia="仿宋"/>
          <w:b/>
          <w:sz w:val="32"/>
          <w:lang w:val="en-US" w:eastAsia="zh-CN"/>
        </w:rPr>
        <w:t xml:space="preserve"> </w:t>
      </w:r>
      <w:r>
        <w:rPr>
          <w:rFonts w:eastAsia="仿宋"/>
          <w:b/>
          <w:sz w:val="32"/>
        </w:rPr>
        <w:t>风险防控、监测与预警</w:t>
      </w:r>
      <w:bookmarkEnd w:id="218"/>
      <w:bookmarkEnd w:id="219"/>
      <w:bookmarkEnd w:id="220"/>
      <w:bookmarkEnd w:id="221"/>
      <w:bookmarkEnd w:id="222"/>
      <w:bookmarkEnd w:id="223"/>
      <w:bookmarkEnd w:id="224"/>
      <w:bookmarkEnd w:id="225"/>
      <w:bookmarkEnd w:id="226"/>
      <w:bookmarkEnd w:id="227"/>
      <w:bookmarkEnd w:id="228"/>
    </w:p>
    <w:p>
      <w:pPr>
        <w:pStyle w:val="15"/>
        <w:widowControl/>
        <w:numPr>
          <w:ilvl w:val="1"/>
          <w:numId w:val="0"/>
        </w:numPr>
        <w:spacing w:beforeAutospacing="0" w:after="120" w:afterAutospacing="0" w:line="384" w:lineRule="atLeast"/>
        <w:ind w:left="-13" w:firstLine="640"/>
        <w:outlineLvl w:val="1"/>
        <w:rPr>
          <w:rFonts w:ascii="仿宋" w:hAnsi="仿宋" w:eastAsia="仿宋" w:cs="仿宋"/>
          <w:b/>
          <w:bCs/>
          <w:color w:val="333333"/>
          <w:sz w:val="32"/>
          <w:szCs w:val="32"/>
          <w:shd w:val="clear" w:color="auto" w:fill="FFFFFF"/>
        </w:rPr>
      </w:pPr>
      <w:bookmarkStart w:id="229" w:name="_Toc20741"/>
      <w:bookmarkStart w:id="230" w:name="_Toc13444"/>
      <w:bookmarkStart w:id="231" w:name="_Toc24417"/>
      <w:bookmarkStart w:id="232" w:name="_Toc16011"/>
      <w:bookmarkStart w:id="233" w:name="_Toc18154"/>
      <w:bookmarkStart w:id="234" w:name="_Toc12924"/>
      <w:bookmarkStart w:id="235" w:name="_Toc21855"/>
      <w:bookmarkStart w:id="236" w:name="_Toc15216"/>
      <w:bookmarkStart w:id="237" w:name="_Toc9335"/>
      <w:bookmarkStart w:id="238" w:name="_Toc9442"/>
      <w:bookmarkStart w:id="239" w:name="_Toc9745"/>
      <w:r>
        <w:rPr>
          <w:rFonts w:ascii="仿宋" w:hAnsi="仿宋" w:eastAsia="仿宋" w:cs="仿宋"/>
          <w:b/>
          <w:bCs/>
          <w:color w:val="333333"/>
          <w:sz w:val="32"/>
          <w:szCs w:val="32"/>
          <w:shd w:val="clear" w:color="auto" w:fill="FFFFFF"/>
        </w:rPr>
        <w:t>3.1</w:t>
      </w:r>
      <w:r>
        <w:rPr>
          <w:rFonts w:hint="eastAsia" w:ascii="仿宋" w:hAnsi="仿宋" w:eastAsia="仿宋" w:cs="仿宋"/>
          <w:b/>
          <w:bCs/>
          <w:color w:val="333333"/>
          <w:sz w:val="32"/>
          <w:szCs w:val="32"/>
          <w:shd w:val="clear" w:color="auto" w:fill="FFFFFF"/>
        </w:rPr>
        <w:t xml:space="preserve"> 风险防控</w:t>
      </w:r>
      <w:bookmarkEnd w:id="229"/>
      <w:bookmarkEnd w:id="230"/>
      <w:bookmarkEnd w:id="231"/>
      <w:bookmarkEnd w:id="232"/>
      <w:bookmarkEnd w:id="233"/>
      <w:bookmarkEnd w:id="234"/>
      <w:bookmarkEnd w:id="235"/>
      <w:bookmarkEnd w:id="236"/>
      <w:bookmarkEnd w:id="237"/>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玉泉区人民政府领导各相关部门、有关单位以及小黑河镇人民政府、各街道办事处、云中路服务中心、各村及社区构建一体化突发事件风险防控体系，依托已建和在建的各类专项风险防控机制，建立跨行业（领域）、多层级、全覆盖的综合风险防控网络。</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玉泉区危险化学品生产安全事故应急指挥部办公室牵头，公安局、卫生健康委员会以及小黑河镇人民政府、各街道办事处、云中路服务中心、各村及社区配合，统筹管理风险隐患信息资源，对接各级各类风险隐患排查和联防联控机制，提升风险防范的全面性、有效性、效率和辅助决策能力。统筹完善本行政区域内小黑河镇人民政府、各街道办事处、云中路服务中心、各村及社区、重点企事业单位风险防控体系，落实风险管控措施；定期组织开展风险防控体系的监督和评估工作，推动</w:t>
      </w:r>
      <w:r>
        <w:rPr>
          <w:rFonts w:hint="eastAsia" w:ascii="仿宋" w:hAnsi="仿宋" w:eastAsia="仿宋" w:cs="仿宋"/>
          <w:color w:val="333333"/>
          <w:kern w:val="0"/>
          <w:sz w:val="32"/>
          <w:szCs w:val="32"/>
          <w:lang w:bidi="ar"/>
        </w:rPr>
        <w:t>危险化学品</w:t>
      </w:r>
      <w:r>
        <w:rPr>
          <w:rFonts w:hint="eastAsia" w:ascii="仿宋" w:hAnsi="仿宋" w:eastAsia="仿宋" w:cs="仿宋"/>
          <w:color w:val="333333"/>
          <w:kern w:val="0"/>
          <w:sz w:val="32"/>
          <w:szCs w:val="32"/>
          <w:shd w:val="clear" w:color="auto" w:fill="FFFFFF"/>
          <w:lang w:bidi="ar"/>
        </w:rPr>
        <w:t>风险隐患排查和联防联控机制的优化完善。</w:t>
      </w:r>
    </w:p>
    <w:p>
      <w:pPr>
        <w:pStyle w:val="15"/>
        <w:widowControl/>
        <w:numPr>
          <w:ilvl w:val="1"/>
          <w:numId w:val="0"/>
        </w:numPr>
        <w:spacing w:beforeAutospacing="0" w:after="120" w:afterAutospacing="0" w:line="384" w:lineRule="atLeast"/>
        <w:ind w:left="-13" w:firstLine="640"/>
        <w:outlineLvl w:val="1"/>
        <w:rPr>
          <w:rFonts w:ascii="仿宋" w:hAnsi="仿宋" w:eastAsia="仿宋" w:cs="仿宋"/>
          <w:b/>
          <w:bCs/>
          <w:color w:val="333333"/>
          <w:sz w:val="32"/>
          <w:szCs w:val="32"/>
          <w:shd w:val="clear" w:color="auto" w:fill="FFFFFF"/>
        </w:rPr>
      </w:pPr>
      <w:bookmarkStart w:id="240" w:name="_Toc17696"/>
      <w:bookmarkStart w:id="241" w:name="_Toc3483"/>
      <w:bookmarkStart w:id="242" w:name="_Toc32104"/>
      <w:bookmarkStart w:id="243" w:name="_Toc10223"/>
      <w:bookmarkStart w:id="244" w:name="_Toc12020"/>
      <w:bookmarkStart w:id="245" w:name="_Toc16473"/>
      <w:bookmarkStart w:id="246" w:name="_Toc1902"/>
      <w:bookmarkStart w:id="247" w:name="_Toc9593"/>
      <w:bookmarkStart w:id="248" w:name="_Toc20355"/>
      <w:r>
        <w:rPr>
          <w:rFonts w:ascii="仿宋" w:hAnsi="仿宋" w:eastAsia="仿宋" w:cs="仿宋"/>
          <w:b/>
          <w:bCs/>
          <w:color w:val="333333"/>
          <w:sz w:val="32"/>
          <w:szCs w:val="32"/>
          <w:shd w:val="clear" w:color="auto" w:fill="FFFFFF"/>
        </w:rPr>
        <w:t>3.2</w:t>
      </w:r>
      <w:r>
        <w:rPr>
          <w:rFonts w:hint="eastAsia" w:ascii="仿宋" w:hAnsi="仿宋" w:eastAsia="仿宋" w:cs="仿宋"/>
          <w:b/>
          <w:bCs/>
          <w:color w:val="333333"/>
          <w:sz w:val="32"/>
          <w:szCs w:val="32"/>
          <w:shd w:val="clear" w:color="auto" w:fill="FFFFFF"/>
        </w:rPr>
        <w:t xml:space="preserve"> 监测</w:t>
      </w:r>
      <w:bookmarkEnd w:id="238"/>
      <w:bookmarkEnd w:id="239"/>
      <w:bookmarkEnd w:id="240"/>
      <w:bookmarkEnd w:id="241"/>
      <w:bookmarkEnd w:id="242"/>
      <w:bookmarkEnd w:id="243"/>
      <w:bookmarkEnd w:id="244"/>
      <w:bookmarkEnd w:id="245"/>
      <w:bookmarkEnd w:id="246"/>
      <w:bookmarkEnd w:id="247"/>
      <w:bookmarkEnd w:id="248"/>
    </w:p>
    <w:p>
      <w:pPr>
        <w:autoSpaceDE w:val="0"/>
        <w:autoSpaceDN w:val="0"/>
        <w:spacing w:line="360" w:lineRule="auto"/>
        <w:ind w:firstLine="56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危险化学品从业单位应采取专业监测、视频监控、专人巡查等方式多渠道收集信息，对可能发生的危险化学品事故及时预警，及时接收并播报气象、应急、公安、卫生等部门发布的预警信息</w:t>
      </w:r>
      <w:r>
        <w:rPr>
          <w:rFonts w:hint="eastAsia" w:ascii="仿宋" w:hAnsi="仿宋" w:eastAsia="仿宋" w:cs="仿宋"/>
          <w:color w:val="333333"/>
          <w:kern w:val="0"/>
          <w:sz w:val="32"/>
          <w:szCs w:val="32"/>
          <w:lang w:bidi="ar"/>
        </w:rPr>
        <w:t>，</w:t>
      </w:r>
      <w:r>
        <w:rPr>
          <w:rFonts w:ascii="仿宋" w:hAnsi="仿宋" w:eastAsia="仿宋" w:cs="仿宋"/>
          <w:color w:val="333333"/>
          <w:kern w:val="0"/>
          <w:sz w:val="32"/>
          <w:szCs w:val="32"/>
          <w:lang w:bidi="ar"/>
        </w:rPr>
        <w:t xml:space="preserve">做好事故防范、应急救援与处置的准备工作。 </w:t>
      </w:r>
    </w:p>
    <w:p>
      <w:pPr>
        <w:autoSpaceDE w:val="0"/>
        <w:autoSpaceDN w:val="0"/>
        <w:spacing w:line="360" w:lineRule="auto"/>
        <w:ind w:firstLine="56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按照国家、自治区和呼和浩特市有关法律、法规、规章规定，</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范围从事生产、储存、使用、经营、运输和废弃危险化学品的企业要建立重大风险管控、重大事故隐患整改档案，按照落实时限、人员、资金、措施、预案</w:t>
      </w:r>
      <w:r>
        <w:rPr>
          <w:rFonts w:hint="eastAsia" w:ascii="仿宋" w:hAnsi="仿宋" w:eastAsia="仿宋" w:cs="仿宋"/>
          <w:color w:val="333333"/>
          <w:kern w:val="0"/>
          <w:sz w:val="32"/>
          <w:szCs w:val="32"/>
          <w:lang w:bidi="ar"/>
        </w:rPr>
        <w:t>“</w:t>
      </w:r>
      <w:r>
        <w:rPr>
          <w:rFonts w:ascii="仿宋" w:hAnsi="仿宋" w:eastAsia="仿宋" w:cs="仿宋"/>
          <w:color w:val="333333"/>
          <w:kern w:val="0"/>
          <w:sz w:val="32"/>
          <w:szCs w:val="32"/>
          <w:lang w:bidi="ar"/>
        </w:rPr>
        <w:t>五落实</w:t>
      </w:r>
      <w:r>
        <w:rPr>
          <w:rFonts w:hint="eastAsia" w:ascii="仿宋" w:hAnsi="仿宋" w:eastAsia="仿宋" w:cs="仿宋"/>
          <w:color w:val="333333"/>
          <w:kern w:val="0"/>
          <w:sz w:val="32"/>
          <w:szCs w:val="32"/>
          <w:lang w:bidi="ar"/>
        </w:rPr>
        <w:t>”</w:t>
      </w:r>
      <w:r>
        <w:rPr>
          <w:rFonts w:ascii="仿宋" w:hAnsi="仿宋" w:eastAsia="仿宋" w:cs="仿宋"/>
          <w:color w:val="333333"/>
          <w:kern w:val="0"/>
          <w:sz w:val="32"/>
          <w:szCs w:val="32"/>
          <w:lang w:bidi="ar"/>
        </w:rPr>
        <w:t>的要求制定工作方案，及时落实风险管控措施，及时落实整改安全隐患，并按规定将有关材料报送</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 xml:space="preserve">应急管理部门备案。对可能引发事故的重大风险隐患及时进行分析研究，采取有效防范措施，必要时疏散撤离，严密防范生产安全事故的发生。 </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249" w:name="_Toc9196"/>
      <w:bookmarkStart w:id="250" w:name="_Toc30752"/>
      <w:bookmarkStart w:id="251" w:name="_Toc30051"/>
      <w:bookmarkStart w:id="252" w:name="_Toc30758"/>
      <w:bookmarkStart w:id="253" w:name="_Toc11528"/>
      <w:bookmarkStart w:id="254" w:name="_Toc4217"/>
      <w:bookmarkStart w:id="255" w:name="_Toc17579"/>
      <w:bookmarkStart w:id="256" w:name="_Toc10426"/>
      <w:bookmarkStart w:id="257" w:name="_Toc29794"/>
      <w:bookmarkStart w:id="258" w:name="_Toc14232"/>
      <w:bookmarkStart w:id="259" w:name="_Toc14702"/>
      <w:r>
        <w:rPr>
          <w:rFonts w:hint="eastAsia" w:ascii="仿宋" w:hAnsi="仿宋" w:eastAsia="仿宋" w:cs="仿宋"/>
          <w:b/>
          <w:bCs/>
          <w:color w:val="333333"/>
          <w:sz w:val="32"/>
          <w:szCs w:val="32"/>
          <w:shd w:val="clear" w:color="auto" w:fill="FFFFFF"/>
        </w:rPr>
        <w:t>3.3 预警</w:t>
      </w:r>
      <w:bookmarkEnd w:id="249"/>
      <w:bookmarkEnd w:id="250"/>
      <w:bookmarkEnd w:id="251"/>
      <w:bookmarkEnd w:id="252"/>
      <w:bookmarkEnd w:id="253"/>
      <w:bookmarkEnd w:id="254"/>
      <w:bookmarkEnd w:id="255"/>
      <w:bookmarkEnd w:id="256"/>
      <w:bookmarkEnd w:id="257"/>
      <w:bookmarkEnd w:id="258"/>
      <w:bookmarkEnd w:id="259"/>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 xml:space="preserve">危险化学品从业单位接到可能导致危险化学品事故的信息 </w:t>
      </w:r>
      <w:r>
        <w:rPr>
          <w:rFonts w:ascii="仿宋" w:hAnsi="仿宋" w:eastAsia="仿宋" w:cs="仿宋"/>
          <w:color w:val="333333"/>
          <w:kern w:val="0"/>
          <w:sz w:val="32"/>
          <w:szCs w:val="32"/>
          <w:lang w:bidi="ar"/>
        </w:rPr>
        <w:t>后</w:t>
      </w:r>
      <w:r>
        <w:rPr>
          <w:rFonts w:hint="eastAsia" w:ascii="仿宋" w:hAnsi="仿宋" w:eastAsia="仿宋" w:cs="仿宋"/>
          <w:color w:val="333333"/>
          <w:kern w:val="0"/>
          <w:sz w:val="32"/>
          <w:szCs w:val="32"/>
          <w:lang w:bidi="ar"/>
        </w:rPr>
        <w:t>，</w:t>
      </w:r>
      <w:r>
        <w:rPr>
          <w:rFonts w:ascii="仿宋" w:hAnsi="仿宋" w:eastAsia="仿宋" w:cs="仿宋"/>
          <w:color w:val="333333"/>
          <w:kern w:val="0"/>
          <w:sz w:val="32"/>
          <w:szCs w:val="32"/>
          <w:lang w:bidi="ar"/>
        </w:rPr>
        <w:t xml:space="preserve">应按照本单位应急预案及时确定应对方案，并通知负有生产安全监督管理职责的相关部门采取相应行动预防事故发生。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w:t>
      </w:r>
      <w:r>
        <w:rPr>
          <w:rFonts w:ascii="仿宋" w:hAnsi="仿宋" w:eastAsia="仿宋" w:cs="仿宋"/>
          <w:color w:val="333333"/>
          <w:kern w:val="0"/>
          <w:sz w:val="32"/>
          <w:szCs w:val="32"/>
          <w:lang w:bidi="ar"/>
        </w:rPr>
        <w:t>区人民政府负有安全生产监督管理职责的相关部门接到可能导致危险化学品生产安全事故的信息后，要密切关注事态进展，并按照预案做好应急准备和预防工作，及时上报生产安全事故应急指挥部，事态严重时及时上报</w:t>
      </w:r>
      <w:r>
        <w:rPr>
          <w:rFonts w:hint="eastAsia" w:ascii="仿宋" w:hAnsi="仿宋" w:eastAsia="仿宋" w:cs="仿宋"/>
          <w:color w:val="333333"/>
          <w:kern w:val="0"/>
          <w:sz w:val="32"/>
          <w:szCs w:val="32"/>
          <w:lang w:bidi="ar"/>
        </w:rPr>
        <w:t>上级</w:t>
      </w:r>
      <w:r>
        <w:rPr>
          <w:rFonts w:ascii="仿宋" w:hAnsi="仿宋" w:eastAsia="仿宋" w:cs="仿宋"/>
          <w:color w:val="333333"/>
          <w:kern w:val="0"/>
          <w:sz w:val="32"/>
          <w:szCs w:val="32"/>
          <w:lang w:bidi="ar"/>
        </w:rPr>
        <w:t>人民政府。</w:t>
      </w:r>
    </w:p>
    <w:p>
      <w:pPr>
        <w:autoSpaceDE w:val="0"/>
        <w:autoSpaceDN w:val="0"/>
        <w:spacing w:line="360" w:lineRule="auto"/>
        <w:ind w:firstLine="560"/>
        <w:rPr>
          <w:rFonts w:ascii="仿宋" w:hAnsi="仿宋" w:eastAsia="仿宋" w:cs="仿宋"/>
          <w:color w:val="333333"/>
          <w:kern w:val="0"/>
          <w:sz w:val="32"/>
          <w:szCs w:val="32"/>
          <w:lang w:bidi="ar"/>
        </w:rPr>
      </w:pPr>
      <w:bookmarkStart w:id="260" w:name="_Toc7790"/>
      <w:bookmarkStart w:id="261" w:name="_Toc12269"/>
      <w:r>
        <w:rPr>
          <w:rFonts w:hint="eastAsia" w:ascii="仿宋" w:hAnsi="仿宋" w:eastAsia="仿宋" w:cs="仿宋"/>
          <w:color w:val="333333"/>
          <w:kern w:val="0"/>
          <w:sz w:val="32"/>
          <w:szCs w:val="32"/>
          <w:lang w:bidi="ar"/>
        </w:rPr>
        <w:t>3.3.1 预警级别</w:t>
      </w:r>
      <w:bookmarkEnd w:id="260"/>
      <w:bookmarkEnd w:id="261"/>
      <w:r>
        <w:rPr>
          <w:rFonts w:hint="eastAsia" w:ascii="仿宋" w:hAnsi="仿宋" w:eastAsia="仿宋" w:cs="仿宋"/>
          <w:color w:val="333333"/>
          <w:kern w:val="0"/>
          <w:sz w:val="32"/>
          <w:szCs w:val="32"/>
          <w:lang w:bidi="ar"/>
        </w:rPr>
        <w:t xml:space="preserve">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根据事故有关因素分析和趋势预测，</w:t>
      </w:r>
      <w:r>
        <w:rPr>
          <w:rFonts w:ascii="仿宋" w:hAnsi="仿宋" w:eastAsia="仿宋" w:cs="仿宋"/>
          <w:color w:val="333333"/>
          <w:kern w:val="0"/>
          <w:sz w:val="32"/>
          <w:szCs w:val="32"/>
          <w:lang w:bidi="ar"/>
        </w:rPr>
        <w:t xml:space="preserve">对有可能启动一般、 较大、重大、特别重大事故应急响应的生产安全事故，应及时进行预警并依次用蓝色、黄色、橙色和红色表示。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w:t>
      </w:r>
      <w:r>
        <w:rPr>
          <w:rFonts w:ascii="仿宋" w:hAnsi="仿宋" w:eastAsia="仿宋" w:cs="仿宋"/>
          <w:color w:val="333333"/>
          <w:kern w:val="0"/>
          <w:sz w:val="32"/>
          <w:szCs w:val="32"/>
          <w:lang w:bidi="ar"/>
        </w:rPr>
        <w:t>蓝色预警：可能造成一般事故</w:t>
      </w:r>
      <w:r>
        <w:rPr>
          <w:rFonts w:hint="eastAsia" w:ascii="仿宋" w:hAnsi="仿宋" w:eastAsia="仿宋" w:cs="仿宋"/>
          <w:color w:val="333333"/>
          <w:kern w:val="0"/>
          <w:sz w:val="32"/>
          <w:szCs w:val="32"/>
          <w:lang w:bidi="ar"/>
        </w:rPr>
        <w:t>，</w:t>
      </w:r>
      <w:r>
        <w:rPr>
          <w:rFonts w:ascii="仿宋" w:hAnsi="仿宋" w:eastAsia="仿宋" w:cs="仿宋"/>
          <w:color w:val="333333"/>
          <w:kern w:val="0"/>
          <w:sz w:val="32"/>
          <w:szCs w:val="32"/>
          <w:lang w:bidi="ar"/>
        </w:rPr>
        <w:t xml:space="preserve">或者造成一定社会影响的事故灾害。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w:t>
      </w:r>
      <w:r>
        <w:rPr>
          <w:rFonts w:ascii="仿宋" w:hAnsi="仿宋" w:eastAsia="仿宋" w:cs="仿宋"/>
          <w:color w:val="333333"/>
          <w:kern w:val="0"/>
          <w:sz w:val="32"/>
          <w:szCs w:val="32"/>
          <w:lang w:bidi="ar"/>
        </w:rPr>
        <w:t xml:space="preserve">黄色预警：可能造成较大事故，或者造成较大社会影响的事故灾害。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w:t>
      </w:r>
      <w:r>
        <w:rPr>
          <w:rFonts w:ascii="仿宋" w:hAnsi="仿宋" w:eastAsia="仿宋" w:cs="仿宋"/>
          <w:color w:val="333333"/>
          <w:kern w:val="0"/>
          <w:sz w:val="32"/>
          <w:szCs w:val="32"/>
          <w:lang w:bidi="ar"/>
        </w:rPr>
        <w:t xml:space="preserve">橙色预警：可能造成重大事故，或者造成重大社会影响的事故灾害。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w:t>
      </w:r>
      <w:r>
        <w:rPr>
          <w:rFonts w:ascii="仿宋" w:hAnsi="仿宋" w:eastAsia="仿宋" w:cs="仿宋"/>
          <w:color w:val="333333"/>
          <w:kern w:val="0"/>
          <w:sz w:val="32"/>
          <w:szCs w:val="32"/>
          <w:lang w:bidi="ar"/>
        </w:rPr>
        <w:t>红色预警：可能造成特别重大事故，或者造成特别重大社会影响的事故灾害。</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 xml:space="preserve"> </w:t>
      </w:r>
      <w:bookmarkStart w:id="262" w:name="_Toc13006"/>
      <w:bookmarkStart w:id="263" w:name="_Toc12487"/>
      <w:r>
        <w:rPr>
          <w:rFonts w:hint="eastAsia" w:ascii="仿宋" w:hAnsi="仿宋" w:eastAsia="仿宋" w:cs="仿宋"/>
          <w:color w:val="333333"/>
          <w:kern w:val="0"/>
          <w:sz w:val="32"/>
          <w:szCs w:val="32"/>
          <w:lang w:bidi="ar"/>
        </w:rPr>
        <w:t>3.3.2 预警发布与解除</w:t>
      </w:r>
      <w:bookmarkEnd w:id="262"/>
      <w:bookmarkEnd w:id="263"/>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根据事态的发展情况和采取措施的效果，</w:t>
      </w:r>
      <w:r>
        <w:rPr>
          <w:rFonts w:ascii="仿宋" w:hAnsi="仿宋" w:eastAsia="仿宋" w:cs="仿宋"/>
          <w:color w:val="333333"/>
          <w:kern w:val="0"/>
          <w:sz w:val="32"/>
          <w:szCs w:val="32"/>
          <w:lang w:bidi="ar"/>
        </w:rPr>
        <w:t>由</w:t>
      </w:r>
      <w:r>
        <w:rPr>
          <w:rFonts w:hint="eastAsia" w:ascii="仿宋" w:hAnsi="仿宋" w:eastAsia="仿宋" w:cs="仿宋"/>
          <w:color w:val="333333"/>
          <w:kern w:val="0"/>
          <w:sz w:val="32"/>
          <w:szCs w:val="32"/>
          <w:lang w:bidi="ar"/>
        </w:rPr>
        <w:t>区</w:t>
      </w:r>
      <w:r>
        <w:rPr>
          <w:rFonts w:ascii="仿宋" w:hAnsi="仿宋" w:eastAsia="仿宋" w:cs="仿宋"/>
          <w:color w:val="333333"/>
          <w:kern w:val="0"/>
          <w:sz w:val="32"/>
          <w:szCs w:val="32"/>
          <w:lang w:bidi="ar"/>
        </w:rPr>
        <w:t>人民政府相关部门发出相应级别的警报，预警信息的发布、调整和解除可通过广播、电视、报刊、通信、互联网、特定区域应急短信、警报器、宣传车或组织人员逐户通知等方式进行，对老幼病残孕等特殊人群以及学校等特殊场所和警报盲区应当采取有针对性的公告方式，同时向</w:t>
      </w:r>
      <w:r>
        <w:rPr>
          <w:rFonts w:hint="eastAsia" w:ascii="仿宋" w:hAnsi="仿宋" w:eastAsia="仿宋" w:cs="仿宋"/>
          <w:color w:val="333333"/>
          <w:kern w:val="0"/>
          <w:sz w:val="32"/>
          <w:szCs w:val="32"/>
          <w:lang w:bidi="ar"/>
        </w:rPr>
        <w:t>呼和浩特市</w:t>
      </w:r>
      <w:r>
        <w:rPr>
          <w:rFonts w:ascii="仿宋" w:hAnsi="仿宋" w:eastAsia="仿宋" w:cs="仿宋"/>
          <w:color w:val="333333"/>
          <w:kern w:val="0"/>
          <w:sz w:val="32"/>
          <w:szCs w:val="32"/>
          <w:lang w:bidi="ar"/>
        </w:rPr>
        <w:t xml:space="preserve">人民政府及有关部门报告。 </w:t>
      </w:r>
    </w:p>
    <w:p>
      <w:pPr>
        <w:autoSpaceDE w:val="0"/>
        <w:autoSpaceDN w:val="0"/>
        <w:spacing w:line="360" w:lineRule="auto"/>
        <w:ind w:firstLine="56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对于可能影响本市以外其他地区的预警信息，由</w:t>
      </w:r>
      <w:r>
        <w:rPr>
          <w:rFonts w:hint="eastAsia" w:ascii="仿宋" w:hAnsi="仿宋" w:eastAsia="仿宋" w:cs="仿宋"/>
          <w:color w:val="333333"/>
          <w:kern w:val="0"/>
          <w:sz w:val="32"/>
          <w:szCs w:val="32"/>
          <w:lang w:bidi="ar"/>
        </w:rPr>
        <w:t>危险化学品</w:t>
      </w:r>
      <w:r>
        <w:rPr>
          <w:rFonts w:ascii="仿宋" w:hAnsi="仿宋" w:eastAsia="仿宋" w:cs="仿宋"/>
          <w:color w:val="333333"/>
          <w:kern w:val="0"/>
          <w:sz w:val="32"/>
          <w:szCs w:val="32"/>
          <w:lang w:bidi="ar"/>
        </w:rPr>
        <w:t>生产安全事故应急指挥部办公室报</w:t>
      </w:r>
      <w:r>
        <w:rPr>
          <w:rFonts w:hint="eastAsia" w:ascii="仿宋" w:hAnsi="仿宋" w:eastAsia="仿宋" w:cs="仿宋"/>
          <w:color w:val="333333"/>
          <w:kern w:val="0"/>
          <w:sz w:val="32"/>
          <w:szCs w:val="32"/>
          <w:lang w:bidi="ar"/>
        </w:rPr>
        <w:t>区</w:t>
      </w:r>
      <w:r>
        <w:rPr>
          <w:rFonts w:ascii="仿宋" w:hAnsi="仿宋" w:eastAsia="仿宋" w:cs="仿宋"/>
          <w:color w:val="333333"/>
          <w:kern w:val="0"/>
          <w:sz w:val="32"/>
          <w:szCs w:val="32"/>
          <w:lang w:bidi="ar"/>
        </w:rPr>
        <w:t>人民政府相关部门批准后，及时向可能受到危害的相关地区通报并上报</w:t>
      </w:r>
      <w:r>
        <w:rPr>
          <w:rFonts w:hint="eastAsia" w:ascii="仿宋" w:hAnsi="仿宋" w:eastAsia="仿宋" w:cs="仿宋"/>
          <w:color w:val="333333"/>
          <w:kern w:val="0"/>
          <w:sz w:val="32"/>
          <w:szCs w:val="32"/>
          <w:lang w:bidi="ar"/>
        </w:rPr>
        <w:t>呼和浩特市</w:t>
      </w:r>
      <w:r>
        <w:rPr>
          <w:rFonts w:ascii="仿宋" w:hAnsi="仿宋" w:eastAsia="仿宋" w:cs="仿宋"/>
          <w:color w:val="333333"/>
          <w:kern w:val="0"/>
          <w:sz w:val="32"/>
          <w:szCs w:val="32"/>
          <w:lang w:bidi="ar"/>
        </w:rPr>
        <w:t xml:space="preserve">相关部门。 </w:t>
      </w:r>
    </w:p>
    <w:p>
      <w:pPr>
        <w:autoSpaceDE w:val="0"/>
        <w:autoSpaceDN w:val="0"/>
        <w:spacing w:line="360" w:lineRule="auto"/>
        <w:ind w:firstLine="56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 xml:space="preserve">预警信息包括危险化学品事故的类别、预警级别、起始时间、可能影响范围、警示事项、应采取的措施和发布机关等。 </w:t>
      </w:r>
    </w:p>
    <w:p>
      <w:pPr>
        <w:autoSpaceDE w:val="0"/>
        <w:autoSpaceDN w:val="0"/>
        <w:spacing w:line="360" w:lineRule="auto"/>
        <w:ind w:firstLine="56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国家相关法律、法规或规范性文件另有规定的，依照其规定执行。</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264" w:name="_Toc9356"/>
      <w:bookmarkStart w:id="265" w:name="_Toc7723"/>
      <w:bookmarkStart w:id="266" w:name="_Toc10749"/>
      <w:bookmarkStart w:id="267" w:name="_Toc4710"/>
      <w:bookmarkStart w:id="268" w:name="_Toc18913"/>
      <w:bookmarkStart w:id="269" w:name="_Toc7954"/>
      <w:bookmarkStart w:id="270" w:name="_Toc7220"/>
      <w:bookmarkStart w:id="271" w:name="_Toc27757"/>
      <w:bookmarkStart w:id="272" w:name="_Toc15362"/>
      <w:bookmarkStart w:id="273" w:name="_Toc23755"/>
      <w:bookmarkStart w:id="274" w:name="_Toc25901"/>
      <w:r>
        <w:rPr>
          <w:rFonts w:hint="eastAsia" w:ascii="仿宋" w:hAnsi="仿宋" w:eastAsia="仿宋" w:cs="仿宋"/>
          <w:b/>
          <w:bCs/>
          <w:color w:val="333333"/>
          <w:sz w:val="32"/>
          <w:szCs w:val="32"/>
          <w:shd w:val="clear" w:color="auto" w:fill="FFFFFF"/>
        </w:rPr>
        <w:t>3.4 预警响应</w:t>
      </w:r>
      <w:bookmarkEnd w:id="264"/>
      <w:bookmarkEnd w:id="265"/>
      <w:bookmarkEnd w:id="266"/>
      <w:bookmarkEnd w:id="267"/>
      <w:bookmarkEnd w:id="268"/>
      <w:bookmarkEnd w:id="269"/>
      <w:bookmarkEnd w:id="270"/>
      <w:bookmarkEnd w:id="271"/>
      <w:bookmarkEnd w:id="272"/>
      <w:bookmarkEnd w:id="273"/>
      <w:bookmarkEnd w:id="274"/>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w:t>
      </w:r>
      <w:r>
        <w:rPr>
          <w:rFonts w:ascii="仿宋" w:hAnsi="仿宋" w:eastAsia="仿宋" w:cs="仿宋"/>
          <w:color w:val="333333"/>
          <w:kern w:val="0"/>
          <w:sz w:val="32"/>
          <w:szCs w:val="32"/>
          <w:lang w:bidi="ar"/>
        </w:rPr>
        <w:t>.4.1</w:t>
      </w:r>
      <w:r>
        <w:rPr>
          <w:rFonts w:hint="eastAsia" w:ascii="仿宋" w:hAnsi="仿宋" w:eastAsia="仿宋" w:cs="仿宋"/>
          <w:color w:val="333333"/>
          <w:kern w:val="0"/>
          <w:sz w:val="32"/>
          <w:szCs w:val="32"/>
          <w:lang w:val="en-US" w:eastAsia="zh-CN" w:bidi="ar"/>
        </w:rPr>
        <w:t xml:space="preserve"> </w:t>
      </w:r>
      <w:r>
        <w:rPr>
          <w:rFonts w:ascii="仿宋" w:hAnsi="仿宋" w:eastAsia="仿宋" w:cs="仿宋"/>
          <w:color w:val="333333"/>
          <w:kern w:val="0"/>
          <w:sz w:val="32"/>
          <w:szCs w:val="32"/>
          <w:lang w:bidi="ar"/>
        </w:rPr>
        <w:t>发布蓝色后，</w:t>
      </w:r>
      <w:r>
        <w:rPr>
          <w:rFonts w:hint="eastAsia" w:ascii="仿宋" w:hAnsi="仿宋" w:eastAsia="仿宋" w:cs="仿宋"/>
          <w:color w:val="333333"/>
          <w:kern w:val="0"/>
          <w:sz w:val="32"/>
          <w:szCs w:val="32"/>
          <w:lang w:bidi="ar"/>
        </w:rPr>
        <w:t>区</w:t>
      </w:r>
      <w:r>
        <w:rPr>
          <w:rFonts w:ascii="仿宋" w:hAnsi="仿宋" w:eastAsia="仿宋" w:cs="仿宋"/>
          <w:color w:val="333333"/>
          <w:kern w:val="0"/>
          <w:sz w:val="32"/>
          <w:szCs w:val="32"/>
          <w:lang w:bidi="ar"/>
        </w:rPr>
        <w:t>应急指挥部办公室应依据相关应急预案立即做出响应。</w:t>
      </w:r>
      <w:r>
        <w:rPr>
          <w:rFonts w:hint="eastAsia" w:ascii="仿宋" w:hAnsi="仿宋" w:eastAsia="仿宋" w:cs="仿宋"/>
          <w:color w:val="333333"/>
          <w:kern w:val="0"/>
          <w:sz w:val="32"/>
          <w:szCs w:val="32"/>
          <w:lang w:bidi="ar"/>
        </w:rPr>
        <w:t>综合保障组人员及时收集、报告有关信息，加强事态发展情况的监测、预报和预警工作；专家顾问组组织专业技术人员、有关专家学者，对事态进行分析评估，预测发生事故可能性的大小、影响范围和强度；综合协调组通知预警区域的相关应急队伍赶赴现场，调运预警区域应急救援物资到现场；安全疏散组划定警戒范围，做好疏散准备。</w:t>
      </w:r>
      <w:r>
        <w:rPr>
          <w:rFonts w:ascii="仿宋" w:hAnsi="仿宋" w:eastAsia="仿宋" w:cs="仿宋"/>
          <w:color w:val="333333"/>
          <w:kern w:val="0"/>
          <w:sz w:val="32"/>
          <w:szCs w:val="32"/>
          <w:lang w:bidi="ar"/>
        </w:rPr>
        <w:t xml:space="preserve">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w:t>
      </w:r>
      <w:r>
        <w:rPr>
          <w:rFonts w:ascii="仿宋" w:hAnsi="仿宋" w:eastAsia="仿宋" w:cs="仿宋"/>
          <w:color w:val="333333"/>
          <w:kern w:val="0"/>
          <w:sz w:val="32"/>
          <w:szCs w:val="32"/>
          <w:lang w:bidi="ar"/>
        </w:rPr>
        <w:t>.4.2</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发布黄色、</w:t>
      </w:r>
      <w:r>
        <w:rPr>
          <w:rFonts w:ascii="仿宋" w:hAnsi="仿宋" w:eastAsia="仿宋" w:cs="仿宋"/>
          <w:color w:val="333333"/>
          <w:kern w:val="0"/>
          <w:sz w:val="32"/>
          <w:szCs w:val="32"/>
          <w:lang w:bidi="ar"/>
        </w:rPr>
        <w:t>橙色、红色预警后</w:t>
      </w:r>
      <w:r>
        <w:rPr>
          <w:rFonts w:hint="eastAsia" w:ascii="仿宋" w:hAnsi="仿宋" w:eastAsia="仿宋" w:cs="仿宋"/>
          <w:color w:val="333333"/>
          <w:kern w:val="0"/>
          <w:sz w:val="32"/>
          <w:szCs w:val="32"/>
          <w:lang w:bidi="ar"/>
        </w:rPr>
        <w:t>，</w:t>
      </w:r>
      <w:r>
        <w:rPr>
          <w:rFonts w:ascii="仿宋" w:hAnsi="仿宋" w:eastAsia="仿宋" w:cs="仿宋"/>
          <w:color w:val="333333"/>
          <w:kern w:val="0"/>
          <w:sz w:val="32"/>
          <w:szCs w:val="32"/>
          <w:lang w:bidi="ar"/>
        </w:rPr>
        <w:t>在蓝色预警响应的基础上，</w:t>
      </w:r>
      <w:r>
        <w:rPr>
          <w:rFonts w:hint="eastAsia" w:ascii="仿宋" w:hAnsi="仿宋" w:eastAsia="仿宋" w:cs="仿宋"/>
          <w:color w:val="333333"/>
          <w:kern w:val="0"/>
          <w:sz w:val="32"/>
          <w:szCs w:val="32"/>
          <w:lang w:bidi="ar"/>
        </w:rPr>
        <w:t>生产安全应急指挥办公室应立即上报玉泉区人民政府请求上报呼和浩特市应急管理局寻求外部支援。</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有关方面要根据预警级别和实际情况以及分级负责的原则，采取下列一项或多项措施：增加监测频次，及时收集、报告有关信息；加强公众沟通，公布信息接收和咨询电话，向社会公告采取的有关特定措施、避免或者减轻危害的建议和劝告等；组织应急队伍和负有特定职责的人员进入待命状态，动员后备人员做好参加应急处置和救援工作的准备；调集应急处置和救援所需物资、设备、工具，准备应急设施和避难场所，并确保其处于良好状态、随时可以投入正常使用；加强对重点单位、重要部位和重要基础设施的安全保卫，维护社会治安秩序；采取必要措施，确保交通、通信、供水、排水、供电、供气、供热等公共设施的安全和正常运行；重点转移可能发生突发危险化学品事故相邻企业人员并予以妥善安置；关闭或者限制使用易受突发危险化学品事故危害的场所，控制或者限制容易导致危害扩大的公共场所的活动；有关地区和部门发布预警后，其他相关地区和部门及时组织分析本地区、本行业可能受到影响的范围、程度等，安排部署有关防范性措施；法规、规章、标准及规范性文件规定的其他必要的防范性、保护性措施。</w:t>
      </w:r>
    </w:p>
    <w:p>
      <w:pPr>
        <w:pStyle w:val="3"/>
        <w:adjustRightInd w:val="0"/>
        <w:snapToGrid w:val="0"/>
        <w:ind w:firstLine="642" w:firstLineChars="200"/>
        <w:rPr>
          <w:rFonts w:hint="default" w:eastAsia="仿宋"/>
          <w:b/>
          <w:sz w:val="32"/>
        </w:rPr>
      </w:pPr>
      <w:bookmarkStart w:id="275" w:name="_Toc32628"/>
      <w:bookmarkStart w:id="276" w:name="_Toc4284"/>
      <w:bookmarkStart w:id="277" w:name="_Toc30937"/>
      <w:bookmarkStart w:id="278" w:name="_Toc13522"/>
      <w:bookmarkStart w:id="279" w:name="_Toc27010"/>
      <w:bookmarkStart w:id="280" w:name="_Toc3234"/>
      <w:bookmarkStart w:id="281" w:name="_Toc27250"/>
      <w:bookmarkStart w:id="282" w:name="_Toc29446"/>
      <w:bookmarkStart w:id="283" w:name="_Toc21134"/>
      <w:bookmarkStart w:id="284" w:name="_Toc17283"/>
      <w:bookmarkStart w:id="285" w:name="_Toc15555"/>
      <w:r>
        <w:rPr>
          <w:rFonts w:eastAsia="仿宋"/>
          <w:b/>
          <w:sz w:val="32"/>
        </w:rPr>
        <w:t>4</w:t>
      </w:r>
      <w:r>
        <w:rPr>
          <w:rFonts w:hint="eastAsia" w:eastAsia="仿宋"/>
          <w:b/>
          <w:sz w:val="32"/>
          <w:lang w:val="en-US" w:eastAsia="zh-CN"/>
        </w:rPr>
        <w:t xml:space="preserve"> </w:t>
      </w:r>
      <w:r>
        <w:rPr>
          <w:rFonts w:eastAsia="仿宋"/>
          <w:b/>
          <w:sz w:val="32"/>
        </w:rPr>
        <w:t>应急处置与救援</w:t>
      </w:r>
      <w:bookmarkEnd w:id="275"/>
      <w:bookmarkEnd w:id="276"/>
      <w:bookmarkEnd w:id="277"/>
      <w:bookmarkEnd w:id="278"/>
      <w:bookmarkEnd w:id="279"/>
      <w:bookmarkEnd w:id="280"/>
      <w:bookmarkEnd w:id="281"/>
      <w:bookmarkEnd w:id="282"/>
      <w:bookmarkEnd w:id="283"/>
      <w:bookmarkEnd w:id="284"/>
      <w:bookmarkEnd w:id="285"/>
      <w:r>
        <w:rPr>
          <w:rFonts w:eastAsia="仿宋"/>
          <w:b/>
          <w:sz w:val="32"/>
        </w:rPr>
        <w:t xml:space="preserve"> </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286" w:name="_Toc26765"/>
      <w:bookmarkStart w:id="287" w:name="_Toc29295"/>
      <w:bookmarkStart w:id="288" w:name="_Toc20322"/>
      <w:bookmarkStart w:id="289" w:name="_Toc23274"/>
      <w:bookmarkStart w:id="290" w:name="_Toc4483"/>
      <w:bookmarkStart w:id="291" w:name="_Toc28512"/>
      <w:bookmarkStart w:id="292" w:name="_Toc31281"/>
      <w:bookmarkStart w:id="293" w:name="_Toc30378"/>
      <w:bookmarkStart w:id="294" w:name="_Toc10568"/>
      <w:bookmarkStart w:id="295" w:name="_Toc24684"/>
      <w:bookmarkStart w:id="296" w:name="_Toc24253"/>
      <w:r>
        <w:rPr>
          <w:rFonts w:hint="eastAsia" w:ascii="仿宋" w:hAnsi="仿宋" w:eastAsia="仿宋" w:cs="仿宋"/>
          <w:b/>
          <w:bCs/>
          <w:color w:val="333333"/>
          <w:sz w:val="32"/>
          <w:szCs w:val="32"/>
          <w:shd w:val="clear" w:color="auto" w:fill="FFFFFF"/>
        </w:rPr>
        <w:t>4.1 事故报警</w:t>
      </w:r>
      <w:bookmarkEnd w:id="286"/>
      <w:bookmarkEnd w:id="287"/>
      <w:bookmarkEnd w:id="288"/>
      <w:bookmarkEnd w:id="289"/>
      <w:bookmarkEnd w:id="290"/>
      <w:bookmarkEnd w:id="291"/>
      <w:bookmarkEnd w:id="292"/>
      <w:bookmarkEnd w:id="293"/>
      <w:bookmarkEnd w:id="294"/>
      <w:bookmarkEnd w:id="295"/>
      <w:bookmarkEnd w:id="296"/>
    </w:p>
    <w:p>
      <w:pPr>
        <w:autoSpaceDE w:val="0"/>
        <w:autoSpaceDN w:val="0"/>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w:t>
      </w:r>
      <w:r>
        <w:rPr>
          <w:rFonts w:ascii="仿宋" w:hAnsi="仿宋" w:eastAsia="仿宋" w:cs="仿宋"/>
          <w:color w:val="333333"/>
          <w:kern w:val="0"/>
          <w:sz w:val="32"/>
          <w:szCs w:val="32"/>
          <w:lang w:bidi="ar"/>
        </w:rPr>
        <w:t>.1.1</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事故发生后，</w:t>
      </w:r>
      <w:r>
        <w:rPr>
          <w:rFonts w:ascii="仿宋" w:hAnsi="仿宋" w:eastAsia="仿宋" w:cs="仿宋"/>
          <w:color w:val="333333"/>
          <w:kern w:val="0"/>
          <w:sz w:val="32"/>
          <w:szCs w:val="32"/>
          <w:lang w:bidi="ar"/>
        </w:rPr>
        <w:t>相关部门、有关单位、现场人员等要及时通过</w:t>
      </w:r>
      <w:r>
        <w:rPr>
          <w:rFonts w:hint="eastAsia" w:ascii="仿宋" w:hAnsi="仿宋" w:eastAsia="仿宋" w:cs="仿宋"/>
          <w:color w:val="333333"/>
          <w:kern w:val="0"/>
          <w:sz w:val="32"/>
          <w:szCs w:val="32"/>
          <w:lang w:bidi="ar"/>
        </w:rPr>
        <w:t>“110”、“119”</w:t>
      </w:r>
      <w:r>
        <w:rPr>
          <w:rFonts w:ascii="仿宋" w:hAnsi="仿宋" w:eastAsia="仿宋" w:cs="仿宋"/>
          <w:color w:val="333333"/>
          <w:kern w:val="0"/>
          <w:sz w:val="32"/>
          <w:szCs w:val="32"/>
          <w:lang w:bidi="ar"/>
        </w:rPr>
        <w:t>、</w:t>
      </w:r>
      <w:r>
        <w:rPr>
          <w:rFonts w:hint="eastAsia" w:ascii="仿宋" w:hAnsi="仿宋" w:eastAsia="仿宋" w:cs="仿宋"/>
          <w:color w:val="333333"/>
          <w:kern w:val="0"/>
          <w:sz w:val="32"/>
          <w:szCs w:val="32"/>
          <w:lang w:bidi="ar"/>
        </w:rPr>
        <w:t>“120”</w:t>
      </w:r>
      <w:r>
        <w:rPr>
          <w:rFonts w:ascii="仿宋" w:hAnsi="仿宋" w:eastAsia="仿宋" w:cs="仿宋"/>
          <w:color w:val="333333"/>
          <w:kern w:val="0"/>
          <w:sz w:val="32"/>
          <w:szCs w:val="32"/>
          <w:lang w:bidi="ar"/>
        </w:rPr>
        <w:t>等电话进行报警或拨打</w:t>
      </w:r>
      <w:r>
        <w:rPr>
          <w:rFonts w:hint="eastAsia" w:ascii="仿宋" w:hAnsi="仿宋" w:eastAsia="仿宋" w:cs="仿宋"/>
          <w:color w:val="333333"/>
          <w:kern w:val="0"/>
          <w:sz w:val="32"/>
          <w:szCs w:val="32"/>
          <w:lang w:bidi="ar"/>
        </w:rPr>
        <w:t>玉泉区危险化学品</w:t>
      </w:r>
      <w:r>
        <w:rPr>
          <w:rFonts w:ascii="仿宋" w:hAnsi="仿宋" w:eastAsia="仿宋" w:cs="仿宋"/>
          <w:color w:val="333333"/>
          <w:kern w:val="0"/>
          <w:sz w:val="32"/>
          <w:szCs w:val="32"/>
          <w:lang w:bidi="ar"/>
        </w:rPr>
        <w:t>生产安全事故应急指挥部办公室值班电话</w:t>
      </w:r>
      <w:r>
        <w:rPr>
          <w:rFonts w:hint="eastAsia" w:ascii="仿宋" w:hAnsi="仿宋" w:eastAsia="仿宋" w:cs="仿宋"/>
          <w:color w:val="333333"/>
          <w:kern w:val="0"/>
          <w:sz w:val="32"/>
          <w:szCs w:val="32"/>
          <w:lang w:bidi="ar"/>
        </w:rPr>
        <w:t>0471-3825093</w:t>
      </w:r>
      <w:r>
        <w:rPr>
          <w:rFonts w:ascii="仿宋" w:hAnsi="仿宋" w:eastAsia="仿宋" w:cs="仿宋"/>
          <w:color w:val="333333"/>
          <w:kern w:val="0"/>
          <w:sz w:val="32"/>
          <w:szCs w:val="32"/>
          <w:lang w:bidi="ar"/>
        </w:rPr>
        <w:t xml:space="preserve">。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w:t>
      </w:r>
      <w:r>
        <w:rPr>
          <w:rFonts w:ascii="仿宋" w:hAnsi="仿宋" w:eastAsia="仿宋" w:cs="仿宋"/>
          <w:color w:val="333333"/>
          <w:kern w:val="0"/>
          <w:sz w:val="32"/>
          <w:szCs w:val="32"/>
          <w:lang w:bidi="ar"/>
        </w:rPr>
        <w:t>.1.2</w:t>
      </w:r>
      <w:r>
        <w:rPr>
          <w:rFonts w:hint="eastAsia" w:ascii="仿宋" w:hAnsi="仿宋" w:eastAsia="仿宋" w:cs="仿宋"/>
          <w:color w:val="333333"/>
          <w:kern w:val="0"/>
          <w:sz w:val="32"/>
          <w:szCs w:val="32"/>
          <w:lang w:val="en-US" w:eastAsia="zh-CN" w:bidi="ar"/>
        </w:rPr>
        <w:t xml:space="preserve"> </w:t>
      </w:r>
      <w:r>
        <w:rPr>
          <w:rFonts w:ascii="仿宋" w:hAnsi="仿宋" w:eastAsia="仿宋" w:cs="仿宋"/>
          <w:color w:val="333333"/>
          <w:kern w:val="0"/>
          <w:sz w:val="32"/>
          <w:szCs w:val="32"/>
          <w:lang w:bidi="ar"/>
        </w:rPr>
        <w:t xml:space="preserve">接报单位核实事故信息后，应及时向生产安全事故应 急指挥部办公室报告危险化学品生产安全事故信息。 </w:t>
      </w:r>
    </w:p>
    <w:p>
      <w:pPr>
        <w:autoSpaceDE w:val="0"/>
        <w:autoSpaceDN w:val="0"/>
        <w:spacing w:line="360" w:lineRule="auto"/>
        <w:ind w:firstLine="560"/>
        <w:rPr>
          <w:rFonts w:ascii="仿宋" w:hAnsi="仿宋" w:eastAsia="仿宋" w:cs="仿宋"/>
          <w:color w:val="333333"/>
          <w:kern w:val="0"/>
          <w:sz w:val="32"/>
          <w:szCs w:val="32"/>
          <w:lang w:bidi="ar"/>
        </w:rPr>
      </w:pPr>
      <w:bookmarkStart w:id="297" w:name="_Toc26409"/>
      <w:bookmarkStart w:id="298" w:name="_Toc9348"/>
      <w:r>
        <w:rPr>
          <w:rFonts w:hint="eastAsia" w:ascii="仿宋" w:hAnsi="仿宋" w:eastAsia="仿宋" w:cs="仿宋"/>
          <w:color w:val="333333"/>
          <w:kern w:val="0"/>
          <w:sz w:val="32"/>
          <w:szCs w:val="32"/>
          <w:lang w:bidi="ar"/>
        </w:rPr>
        <w:t>4</w:t>
      </w:r>
      <w:r>
        <w:rPr>
          <w:rFonts w:ascii="仿宋" w:hAnsi="仿宋" w:eastAsia="仿宋" w:cs="仿宋"/>
          <w:color w:val="333333"/>
          <w:kern w:val="0"/>
          <w:sz w:val="32"/>
          <w:szCs w:val="32"/>
          <w:lang w:bidi="ar"/>
        </w:rPr>
        <w:t>.1.3</w:t>
      </w:r>
      <w:r>
        <w:rPr>
          <w:rFonts w:hint="eastAsia" w:ascii="仿宋" w:hAnsi="仿宋" w:eastAsia="仿宋" w:cs="仿宋"/>
          <w:color w:val="333333"/>
          <w:kern w:val="0"/>
          <w:sz w:val="32"/>
          <w:szCs w:val="32"/>
          <w:lang w:val="en-US" w:eastAsia="zh-CN" w:bidi="ar"/>
        </w:rPr>
        <w:t xml:space="preserve"> </w:t>
      </w:r>
      <w:r>
        <w:rPr>
          <w:rFonts w:ascii="仿宋" w:hAnsi="仿宋" w:eastAsia="仿宋" w:cs="仿宋"/>
          <w:color w:val="333333"/>
          <w:kern w:val="0"/>
          <w:sz w:val="32"/>
          <w:szCs w:val="32"/>
          <w:lang w:bidi="ar"/>
        </w:rPr>
        <w:t>生产安全事故应急指挥部办公室对于一般危险化学品</w:t>
      </w:r>
      <w:bookmarkEnd w:id="297"/>
      <w:bookmarkEnd w:id="298"/>
      <w:r>
        <w:rPr>
          <w:rFonts w:ascii="仿宋" w:hAnsi="仿宋" w:eastAsia="仿宋" w:cs="仿宋"/>
          <w:color w:val="333333"/>
          <w:kern w:val="0"/>
          <w:sz w:val="32"/>
          <w:szCs w:val="32"/>
          <w:lang w:bidi="ar"/>
        </w:rPr>
        <w:t xml:space="preserve"> 生产安全事故信息，应及时报生产安全事故应急指挥部；发生较大以上危险化学品生产安全事故，生产安全事故应急指挥部办公室要立即向生产安全事故应急指挥部报告，最迟不晚于事故发生后</w:t>
      </w:r>
      <w:r>
        <w:rPr>
          <w:rFonts w:hint="eastAsia" w:ascii="仿宋" w:hAnsi="仿宋" w:eastAsia="仿宋" w:cs="仿宋"/>
          <w:color w:val="333333"/>
          <w:kern w:val="0"/>
          <w:sz w:val="32"/>
          <w:szCs w:val="32"/>
          <w:lang w:bidi="ar"/>
        </w:rPr>
        <w:t>2</w:t>
      </w:r>
      <w:r>
        <w:rPr>
          <w:rFonts w:ascii="仿宋" w:hAnsi="仿宋" w:eastAsia="仿宋" w:cs="仿宋"/>
          <w:color w:val="333333"/>
          <w:kern w:val="0"/>
          <w:sz w:val="32"/>
          <w:szCs w:val="32"/>
          <w:lang w:bidi="ar"/>
        </w:rPr>
        <w:t>小时报告详细信息。同时</w:t>
      </w:r>
      <w:r>
        <w:rPr>
          <w:rFonts w:hint="eastAsia" w:ascii="仿宋" w:hAnsi="仿宋" w:eastAsia="仿宋" w:cs="仿宋"/>
          <w:color w:val="333333"/>
          <w:kern w:val="0"/>
          <w:sz w:val="32"/>
          <w:szCs w:val="32"/>
          <w:lang w:bidi="ar"/>
        </w:rPr>
        <w:t>，</w:t>
      </w:r>
      <w:r>
        <w:rPr>
          <w:rFonts w:ascii="仿宋" w:hAnsi="仿宋" w:eastAsia="仿宋" w:cs="仿宋"/>
          <w:color w:val="333333"/>
          <w:kern w:val="0"/>
          <w:sz w:val="32"/>
          <w:szCs w:val="32"/>
          <w:lang w:bidi="ar"/>
        </w:rPr>
        <w:t>生产安全事故应急指挥部需将详细信息报</w:t>
      </w:r>
      <w:r>
        <w:rPr>
          <w:rFonts w:hint="eastAsia" w:ascii="仿宋" w:hAnsi="仿宋" w:eastAsia="仿宋" w:cs="仿宋"/>
          <w:color w:val="333333"/>
          <w:kern w:val="0"/>
          <w:sz w:val="32"/>
          <w:szCs w:val="32"/>
          <w:lang w:bidi="ar"/>
        </w:rPr>
        <w:t>呼和浩特</w:t>
      </w:r>
      <w:r>
        <w:rPr>
          <w:rFonts w:ascii="仿宋" w:hAnsi="仿宋" w:eastAsia="仿宋" w:cs="仿宋"/>
          <w:color w:val="333333"/>
          <w:kern w:val="0"/>
          <w:sz w:val="32"/>
          <w:szCs w:val="32"/>
          <w:lang w:bidi="ar"/>
        </w:rPr>
        <w:t>市人民政府、</w:t>
      </w:r>
      <w:r>
        <w:rPr>
          <w:rFonts w:hint="eastAsia" w:ascii="仿宋" w:hAnsi="仿宋" w:eastAsia="仿宋" w:cs="仿宋"/>
          <w:color w:val="333333"/>
          <w:kern w:val="0"/>
          <w:sz w:val="32"/>
          <w:szCs w:val="32"/>
          <w:lang w:bidi="ar"/>
        </w:rPr>
        <w:t>呼和浩特市应急管理局</w:t>
      </w:r>
      <w:r>
        <w:rPr>
          <w:rFonts w:ascii="仿宋" w:hAnsi="仿宋" w:eastAsia="仿宋" w:cs="仿宋"/>
          <w:color w:val="333333"/>
          <w:kern w:val="0"/>
          <w:sz w:val="32"/>
          <w:szCs w:val="32"/>
          <w:lang w:bidi="ar"/>
        </w:rPr>
        <w:t xml:space="preserve">。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w:t>
      </w:r>
      <w:r>
        <w:rPr>
          <w:rFonts w:ascii="仿宋" w:hAnsi="仿宋" w:eastAsia="仿宋" w:cs="仿宋"/>
          <w:color w:val="333333"/>
          <w:kern w:val="0"/>
          <w:sz w:val="32"/>
          <w:szCs w:val="32"/>
          <w:lang w:bidi="ar"/>
        </w:rPr>
        <w:t>.1.4</w:t>
      </w:r>
      <w:r>
        <w:rPr>
          <w:rFonts w:hint="eastAsia" w:ascii="仿宋" w:hAnsi="仿宋" w:eastAsia="仿宋" w:cs="仿宋"/>
          <w:color w:val="333333"/>
          <w:kern w:val="0"/>
          <w:sz w:val="32"/>
          <w:szCs w:val="32"/>
          <w:lang w:val="en-US" w:eastAsia="zh-CN" w:bidi="ar"/>
        </w:rPr>
        <w:t xml:space="preserve"> </w:t>
      </w:r>
      <w:r>
        <w:rPr>
          <w:rFonts w:ascii="仿宋" w:hAnsi="仿宋" w:eastAsia="仿宋" w:cs="仿宋"/>
          <w:color w:val="333333"/>
          <w:kern w:val="0"/>
          <w:sz w:val="32"/>
          <w:szCs w:val="32"/>
          <w:lang w:bidi="ar"/>
        </w:rPr>
        <w:t>事故信息报告内容应包含</w:t>
      </w:r>
      <w:r>
        <w:rPr>
          <w:rFonts w:hint="eastAsia" w:ascii="仿宋" w:hAnsi="仿宋" w:eastAsia="仿宋" w:cs="仿宋"/>
          <w:color w:val="333333"/>
          <w:kern w:val="0"/>
          <w:sz w:val="32"/>
          <w:szCs w:val="32"/>
          <w:lang w:bidi="ar"/>
        </w:rPr>
        <w:t>：</w:t>
      </w:r>
      <w:r>
        <w:rPr>
          <w:rFonts w:ascii="仿宋" w:hAnsi="仿宋" w:eastAsia="仿宋" w:cs="仿宋"/>
          <w:color w:val="333333"/>
          <w:kern w:val="0"/>
          <w:sz w:val="32"/>
          <w:szCs w:val="32"/>
          <w:lang w:bidi="ar"/>
        </w:rPr>
        <w:t xml:space="preserve">事故发生的单位名称、时间、地点（设备或设施名称）；事故发生的初步原因；事故概况和处理情况；人员伤亡及撤离情况（人数、程度）；事故对周边自然环境影响情况，是否造成环境污染和破坏；报告人的单位、姓名和联系电话；续报相关情况。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w:t>
      </w:r>
      <w:r>
        <w:rPr>
          <w:rFonts w:ascii="仿宋" w:hAnsi="仿宋" w:eastAsia="仿宋" w:cs="仿宋"/>
          <w:color w:val="333333"/>
          <w:kern w:val="0"/>
          <w:sz w:val="32"/>
          <w:szCs w:val="32"/>
          <w:lang w:bidi="ar"/>
        </w:rPr>
        <w:t>.1.5</w:t>
      </w:r>
      <w:r>
        <w:rPr>
          <w:rFonts w:hint="eastAsia" w:ascii="仿宋" w:hAnsi="仿宋" w:eastAsia="仿宋" w:cs="仿宋"/>
          <w:color w:val="333333"/>
          <w:kern w:val="0"/>
          <w:sz w:val="32"/>
          <w:szCs w:val="32"/>
          <w:lang w:val="en-US" w:eastAsia="zh-CN" w:bidi="ar"/>
        </w:rPr>
        <w:t xml:space="preserve"> </w:t>
      </w:r>
      <w:r>
        <w:rPr>
          <w:rFonts w:ascii="仿宋" w:hAnsi="仿宋" w:eastAsia="仿宋" w:cs="仿宋"/>
          <w:color w:val="333333"/>
          <w:kern w:val="0"/>
          <w:sz w:val="32"/>
          <w:szCs w:val="32"/>
          <w:lang w:bidi="ar"/>
        </w:rPr>
        <w:t>任何单位和个人不得迟报、漏报、谎报和瞒报危险化学品生产安全事故信息。</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299" w:name="_Toc28697"/>
      <w:bookmarkStart w:id="300" w:name="_Toc20452"/>
      <w:bookmarkStart w:id="301" w:name="_Toc778"/>
      <w:bookmarkStart w:id="302" w:name="_Toc22630"/>
      <w:bookmarkStart w:id="303" w:name="_Toc12633"/>
      <w:bookmarkStart w:id="304" w:name="_Toc18601"/>
      <w:bookmarkStart w:id="305" w:name="_Toc11555"/>
      <w:bookmarkStart w:id="306" w:name="_Toc15614"/>
      <w:bookmarkStart w:id="307" w:name="_Toc7353"/>
      <w:bookmarkStart w:id="308" w:name="_Toc20817"/>
      <w:bookmarkStart w:id="309" w:name="_Toc12540"/>
      <w:r>
        <w:rPr>
          <w:rFonts w:hint="eastAsia" w:ascii="仿宋" w:hAnsi="仿宋" w:eastAsia="仿宋" w:cs="仿宋"/>
          <w:b/>
          <w:bCs/>
          <w:color w:val="333333"/>
          <w:sz w:val="32"/>
          <w:szCs w:val="32"/>
          <w:shd w:val="clear" w:color="auto" w:fill="FFFFFF"/>
        </w:rPr>
        <w:t>4.2 先期处置</w:t>
      </w:r>
      <w:bookmarkEnd w:id="299"/>
      <w:bookmarkEnd w:id="300"/>
      <w:bookmarkEnd w:id="301"/>
      <w:bookmarkEnd w:id="302"/>
      <w:bookmarkEnd w:id="303"/>
      <w:bookmarkEnd w:id="304"/>
      <w:bookmarkEnd w:id="305"/>
      <w:bookmarkEnd w:id="306"/>
      <w:bookmarkEnd w:id="307"/>
      <w:bookmarkEnd w:id="308"/>
      <w:bookmarkEnd w:id="309"/>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事发单位要立即启动本单位事故应急救援预案，</w:t>
      </w:r>
      <w:r>
        <w:rPr>
          <w:rFonts w:ascii="仿宋" w:hAnsi="仿宋" w:eastAsia="仿宋" w:cs="仿宋"/>
          <w:color w:val="333333"/>
          <w:kern w:val="0"/>
          <w:sz w:val="32"/>
          <w:szCs w:val="32"/>
          <w:lang w:bidi="ar"/>
        </w:rPr>
        <w:t xml:space="preserve">立即组织本单位应急救援队伍和工作人员营救受害人员，疏散、撤离、安置受到威胁的人员；控制危险源，标明危险区域，封锁危险场所，采取其他防止危害扩大的必要措施。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生产安全事故应急指挥办公室立即组织力量（专家）对事态进行研判，提出相应措施并部署应急处置工作。国家综合性消防救援队伍、专业救援队伍做好赶赴现场准备，并派遣先遣小组赶赴现场开展相关处置工作。生产安全事故应急指挥部及相关成员单位根据实际情况和分级负责的原则，依法采取以下一项或多项措施：</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w:t>
      </w:r>
      <w:r>
        <w:rPr>
          <w:rFonts w:ascii="仿宋" w:hAnsi="仿宋" w:eastAsia="仿宋" w:cs="仿宋"/>
          <w:color w:val="333333"/>
          <w:kern w:val="0"/>
          <w:sz w:val="32"/>
          <w:szCs w:val="32"/>
          <w:lang w:bidi="ar"/>
        </w:rPr>
        <w:t>.2.1</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新闻发布组牵头公布信息接报和咨询电话，及时收集和上报有关信息，向社会公告采取的有关特定措施、避免和减轻危害的建议和劝告。</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w:t>
      </w:r>
      <w:r>
        <w:rPr>
          <w:rFonts w:ascii="仿宋" w:hAnsi="仿宋" w:eastAsia="仿宋" w:cs="仿宋"/>
          <w:color w:val="333333"/>
          <w:kern w:val="0"/>
          <w:sz w:val="32"/>
          <w:szCs w:val="32"/>
          <w:lang w:bidi="ar"/>
        </w:rPr>
        <w:t>.2.2</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专业处置组组织国家综合性消防救援队伍、专业性消防救援队伍和负有特定职责的人员进入待命状态，动员后备人员做好应急准备。</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w:t>
      </w:r>
      <w:r>
        <w:rPr>
          <w:rFonts w:ascii="仿宋" w:hAnsi="仿宋" w:eastAsia="仿宋" w:cs="仿宋"/>
          <w:color w:val="333333"/>
          <w:kern w:val="0"/>
          <w:sz w:val="32"/>
          <w:szCs w:val="32"/>
          <w:lang w:bidi="ar"/>
        </w:rPr>
        <w:t>.2.3</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综合保障组调集应急救援所需物资、装备、设备，准备应急设施和临时避险场所，确保随时可以投入正常使用。</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w:t>
      </w:r>
      <w:r>
        <w:rPr>
          <w:rFonts w:ascii="仿宋" w:hAnsi="仿宋" w:eastAsia="仿宋" w:cs="仿宋"/>
          <w:color w:val="333333"/>
          <w:kern w:val="0"/>
          <w:sz w:val="32"/>
          <w:szCs w:val="32"/>
          <w:lang w:bidi="ar"/>
        </w:rPr>
        <w:t>.2.4</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安全疏散组加强预警区域重点单位、重要部位和重要基础设施的安全保障，确保交通、通信、供水、排水、供电、供气、输油等公共设施的安全运行，转移、疏散或撤离易受事故危害的人员并妥善安置，转移重要财产。随时关闭或限制使用易受事故危害的场所，控制或限制容易导致危害扩大的公共场所的活动及采取其他必要的防范性、保护性措施。</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310" w:name="_Toc761"/>
      <w:bookmarkStart w:id="311" w:name="_Toc26726"/>
      <w:bookmarkStart w:id="312" w:name="_Toc22165"/>
      <w:bookmarkStart w:id="313" w:name="_Toc28741"/>
      <w:bookmarkStart w:id="314" w:name="_Toc32352"/>
      <w:bookmarkStart w:id="315" w:name="_Toc19531"/>
      <w:bookmarkStart w:id="316" w:name="_Toc5718"/>
      <w:bookmarkStart w:id="317" w:name="_Toc23835"/>
      <w:bookmarkStart w:id="318" w:name="_Toc9664"/>
      <w:bookmarkStart w:id="319" w:name="_Toc5577"/>
      <w:bookmarkStart w:id="320" w:name="_Toc15975"/>
      <w:r>
        <w:rPr>
          <w:rFonts w:hint="eastAsia" w:ascii="仿宋" w:hAnsi="仿宋" w:eastAsia="仿宋" w:cs="仿宋"/>
          <w:b/>
          <w:bCs/>
          <w:color w:val="333333"/>
          <w:sz w:val="32"/>
          <w:szCs w:val="32"/>
          <w:shd w:val="clear" w:color="auto" w:fill="FFFFFF"/>
        </w:rPr>
        <w:t>4.3 应急响应</w:t>
      </w:r>
      <w:bookmarkEnd w:id="310"/>
      <w:bookmarkEnd w:id="311"/>
      <w:bookmarkEnd w:id="312"/>
      <w:bookmarkEnd w:id="313"/>
      <w:bookmarkEnd w:id="314"/>
      <w:bookmarkEnd w:id="315"/>
      <w:bookmarkEnd w:id="316"/>
      <w:bookmarkEnd w:id="317"/>
      <w:bookmarkEnd w:id="318"/>
      <w:bookmarkEnd w:id="319"/>
      <w:bookmarkEnd w:id="320"/>
    </w:p>
    <w:p>
      <w:pPr>
        <w:autoSpaceDE w:val="0"/>
        <w:autoSpaceDN w:val="0"/>
        <w:spacing w:line="360" w:lineRule="auto"/>
        <w:ind w:firstLine="560"/>
        <w:rPr>
          <w:rFonts w:ascii="仿宋" w:hAnsi="仿宋" w:eastAsia="仿宋" w:cs="仿宋"/>
          <w:color w:val="333333"/>
          <w:kern w:val="0"/>
          <w:sz w:val="32"/>
          <w:szCs w:val="32"/>
          <w:lang w:bidi="ar"/>
        </w:rPr>
      </w:pPr>
      <w:bookmarkStart w:id="321" w:name="_Toc24385"/>
      <w:bookmarkStart w:id="322" w:name="_Toc10765"/>
      <w:r>
        <w:rPr>
          <w:rFonts w:hint="eastAsia" w:ascii="仿宋" w:hAnsi="仿宋" w:eastAsia="仿宋" w:cs="仿宋"/>
          <w:color w:val="333333"/>
          <w:kern w:val="0"/>
          <w:sz w:val="32"/>
          <w:szCs w:val="32"/>
          <w:lang w:bidi="ar"/>
        </w:rPr>
        <w:t>4.3.1 分级响应</w:t>
      </w:r>
      <w:bookmarkEnd w:id="321"/>
      <w:bookmarkEnd w:id="322"/>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根据危险化学品生产安全事故的可控性、严重程度和影响范围，应急响应级别由高到低原则上分为一级、二级、三级。</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危险化学品生产安全事故应急指挥部对接报的事故范围、人员伤亡、财产损失以及是否需要外界援助等情况进行事态的初始评估，初步确定应急响应级别和应急响应力量。危险化学品生产安全事故应急指挥部按照分级响应的原则，启动相应级别的应急响应。</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一级响应：发生重大及以上危险化学品生产安全事故，由玉泉区人民政府决定启动，成立危险化学品生产安全事故应急指挥部，各应急工作小组立即进入备战状态做好先期处置工作，同时立即向呼和浩特市人民政府及呼和浩特市应急管理局报告事故情况，并协助呼和浩特市人民政府开展应急救援工作。</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二级响应：发生较大生产安全事故，由玉泉区分管应急管理常务副区长决定启动，立即向玉泉区人民政府及危险化学品生产安全事故应急指挥部报告事故情况，危险化学品生产安全事故应急指挥部要密切跟踪事态发展，各应急工作小组立即进入备战状态，随时做好应急响应升级的准备，根据需要成立现场指挥部指导应急处置工作，协调应急队伍、专家以及装备、物资等开展先期处置。</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三级响应：发生一般生产安全事故，由玉泉区应急管理局局长决定启动，同时立即向危险化学品生产安全应急指挥部领导报告事故情况，向各工作小组通报事故信息，协调各工作小组做好应急处置与救援工作。</w:t>
      </w:r>
    </w:p>
    <w:p>
      <w:pPr>
        <w:pStyle w:val="26"/>
        <w:rPr>
          <w:lang w:eastAsia="zh-CN"/>
        </w:rPr>
      </w:pPr>
      <w:r>
        <w:rPr>
          <w:rFonts w:hint="eastAsia" w:ascii="仿宋" w:hAnsi="仿宋" w:eastAsia="仿宋" w:cs="仿宋"/>
          <w:color w:val="333333"/>
          <w:sz w:val="32"/>
          <w:szCs w:val="32"/>
          <w:lang w:eastAsia="zh-CN" w:bidi="ar"/>
        </w:rPr>
        <w:t>发生危险化学品生产安全事故时，以上应急响应第一负责人不在岗的情况下，由第一负责人指定人员启动相应级别的应急响应。</w:t>
      </w:r>
    </w:p>
    <w:p>
      <w:pPr>
        <w:autoSpaceDE w:val="0"/>
        <w:autoSpaceDN w:val="0"/>
        <w:spacing w:line="360" w:lineRule="auto"/>
        <w:ind w:firstLine="560"/>
        <w:rPr>
          <w:rFonts w:ascii="仿宋" w:hAnsi="仿宋" w:eastAsia="仿宋" w:cs="仿宋"/>
          <w:color w:val="333333"/>
          <w:kern w:val="0"/>
          <w:sz w:val="32"/>
          <w:szCs w:val="32"/>
          <w:lang w:bidi="ar"/>
        </w:rPr>
      </w:pPr>
      <w:bookmarkStart w:id="323" w:name="br1_48"/>
      <w:bookmarkEnd w:id="323"/>
      <w:bookmarkStart w:id="324" w:name="br1_47"/>
      <w:bookmarkEnd w:id="324"/>
      <w:bookmarkStart w:id="325" w:name="_Toc5126"/>
      <w:bookmarkStart w:id="326" w:name="_Toc32707"/>
      <w:r>
        <w:rPr>
          <w:rFonts w:hint="eastAsia" w:ascii="仿宋" w:hAnsi="仿宋" w:eastAsia="仿宋" w:cs="仿宋"/>
          <w:color w:val="333333"/>
          <w:kern w:val="0"/>
          <w:sz w:val="32"/>
          <w:szCs w:val="32"/>
          <w:lang w:bidi="ar"/>
        </w:rPr>
        <w:t>4.3.2 响应级别调整</w:t>
      </w:r>
      <w:bookmarkEnd w:id="325"/>
      <w:bookmarkEnd w:id="326"/>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应急处置过程中发现危险化学品事故响应分级与初步判断不符，在调整危险化学品事故分级的同时相应调整应急响应级别。</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若同时发生多起危险化学品事故，使得应急处置和救援难度上升、应急资源调度困难；危险化学品事故发生在重大活动举办、重要会议召开时期等，需调整应急响应级别。</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应急处置过程中发现危害和威胁的发展趋势变化、应急处置和救援能力要求变化、应急物资和设施需求变化，经专家审议可调整应急响应级别。</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当超出责任主体自身处置能力时，及时向上一级应急指挥部提出请求，由上一级应急指挥部提供支援或启动更高级别响应。</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327" w:name="_Toc15542"/>
      <w:bookmarkStart w:id="328" w:name="_Toc19584"/>
      <w:bookmarkStart w:id="329" w:name="_Toc2355"/>
      <w:bookmarkStart w:id="330" w:name="_Toc10655"/>
      <w:bookmarkStart w:id="331" w:name="_Toc17594"/>
      <w:bookmarkStart w:id="332" w:name="_Toc25509"/>
      <w:bookmarkStart w:id="333" w:name="_Toc24927"/>
      <w:bookmarkStart w:id="334" w:name="_Toc23544"/>
      <w:bookmarkStart w:id="335" w:name="_Toc21926"/>
      <w:bookmarkStart w:id="336" w:name="_Toc12908"/>
      <w:bookmarkStart w:id="337" w:name="_Toc19907"/>
      <w:r>
        <w:rPr>
          <w:rFonts w:hint="eastAsia" w:ascii="仿宋" w:hAnsi="仿宋" w:eastAsia="仿宋" w:cs="仿宋"/>
          <w:b/>
          <w:bCs/>
          <w:color w:val="333333"/>
          <w:sz w:val="32"/>
          <w:szCs w:val="32"/>
          <w:shd w:val="clear" w:color="auto" w:fill="FFFFFF"/>
        </w:rPr>
        <w:t>4.4 指挥协调</w:t>
      </w:r>
      <w:bookmarkEnd w:id="327"/>
      <w:bookmarkEnd w:id="328"/>
      <w:bookmarkEnd w:id="329"/>
      <w:bookmarkEnd w:id="330"/>
      <w:bookmarkEnd w:id="331"/>
      <w:bookmarkEnd w:id="332"/>
      <w:bookmarkEnd w:id="333"/>
      <w:bookmarkEnd w:id="334"/>
      <w:bookmarkEnd w:id="335"/>
      <w:bookmarkEnd w:id="336"/>
      <w:bookmarkEnd w:id="337"/>
    </w:p>
    <w:p>
      <w:pPr>
        <w:autoSpaceDE w:val="0"/>
        <w:autoSpaceDN w:val="0"/>
        <w:spacing w:line="360" w:lineRule="auto"/>
        <w:ind w:firstLine="560"/>
        <w:rPr>
          <w:rFonts w:ascii="仿宋" w:hAnsi="仿宋" w:eastAsia="仿宋" w:cs="仿宋"/>
          <w:color w:val="333333"/>
          <w:kern w:val="0"/>
          <w:sz w:val="32"/>
          <w:szCs w:val="32"/>
          <w:lang w:bidi="ar"/>
        </w:rPr>
      </w:pPr>
      <w:bookmarkStart w:id="338" w:name="_Toc5246"/>
      <w:bookmarkStart w:id="339" w:name="_Toc13461"/>
      <w:r>
        <w:rPr>
          <w:rFonts w:hint="eastAsia" w:ascii="仿宋" w:hAnsi="仿宋" w:eastAsia="仿宋" w:cs="仿宋"/>
          <w:color w:val="333333"/>
          <w:kern w:val="0"/>
          <w:sz w:val="32"/>
          <w:szCs w:val="32"/>
          <w:lang w:bidi="ar"/>
        </w:rPr>
        <w:t>4.4.1 组织</w:t>
      </w:r>
      <w:bookmarkEnd w:id="338"/>
      <w:bookmarkEnd w:id="339"/>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在玉泉区人民政府领导下，按照前述响应分级原则，集中统一高效组织指挥危险化学品安全生产事故应对工作。超出玉泉区人民政府处置能力的，上级组织现场指挥部设立后，应移交指挥权。</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启动应急响应后，生产安全事故应急指挥部办公室立即启动组织工作，联络生产安全事故应急指挥部指挥长、副指挥长，各配合部门负责人、相关专家，迅速到生产安全事故应急指挥部集结。</w:t>
      </w:r>
    </w:p>
    <w:p>
      <w:pPr>
        <w:autoSpaceDE w:val="0"/>
        <w:autoSpaceDN w:val="0"/>
        <w:spacing w:line="360" w:lineRule="auto"/>
        <w:ind w:firstLine="560"/>
        <w:rPr>
          <w:rFonts w:ascii="仿宋" w:hAnsi="仿宋" w:eastAsia="仿宋" w:cs="仿宋"/>
          <w:color w:val="333333"/>
          <w:kern w:val="0"/>
          <w:sz w:val="32"/>
          <w:szCs w:val="32"/>
          <w:lang w:bidi="ar"/>
        </w:rPr>
      </w:pPr>
      <w:bookmarkStart w:id="340" w:name="_Toc32749"/>
      <w:bookmarkStart w:id="341" w:name="_Toc20097"/>
      <w:r>
        <w:rPr>
          <w:rFonts w:hint="eastAsia" w:ascii="仿宋" w:hAnsi="仿宋" w:eastAsia="仿宋" w:cs="仿宋"/>
          <w:color w:val="333333"/>
          <w:kern w:val="0"/>
          <w:sz w:val="32"/>
          <w:szCs w:val="32"/>
          <w:lang w:bidi="ar"/>
        </w:rPr>
        <w:t>4.4.2 方案和计划</w:t>
      </w:r>
      <w:bookmarkEnd w:id="340"/>
      <w:bookmarkEnd w:id="341"/>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生产安全事故应急指挥部办公室第一时间组织专业人员或专家组制定应急行动方案并拟定执行计划，并根据先期处置情况及时修订。</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生产安全事故应急指挥部对方案和计划进行审议、修订，并传达给现场指挥部以及参加应急处置工作的各方应急力量贯彻执行。</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随着处置过程的深入，结合事件态势的发展，生产安全事故应急指挥部持续对方案和计划进行评估、改进直至应急响应结束。</w:t>
      </w:r>
    </w:p>
    <w:p>
      <w:pPr>
        <w:autoSpaceDE w:val="0"/>
        <w:autoSpaceDN w:val="0"/>
        <w:spacing w:line="360" w:lineRule="auto"/>
        <w:ind w:firstLine="560"/>
        <w:rPr>
          <w:rFonts w:ascii="仿宋" w:hAnsi="仿宋" w:eastAsia="仿宋" w:cs="仿宋"/>
          <w:color w:val="333333"/>
          <w:kern w:val="0"/>
          <w:sz w:val="32"/>
          <w:szCs w:val="32"/>
          <w:lang w:bidi="ar"/>
        </w:rPr>
      </w:pPr>
      <w:bookmarkStart w:id="342" w:name="_Toc4866"/>
      <w:bookmarkStart w:id="343" w:name="_Toc27743"/>
      <w:r>
        <w:rPr>
          <w:rFonts w:hint="eastAsia" w:ascii="仿宋" w:hAnsi="仿宋" w:eastAsia="仿宋" w:cs="仿宋"/>
          <w:color w:val="333333"/>
          <w:kern w:val="0"/>
          <w:sz w:val="32"/>
          <w:szCs w:val="32"/>
          <w:lang w:bidi="ar"/>
        </w:rPr>
        <w:t>4.4.3 指挥协同</w:t>
      </w:r>
      <w:bookmarkEnd w:id="342"/>
      <w:bookmarkEnd w:id="343"/>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生产安全事故应急指挥部根据事故应急处置的需要设立现场指挥部。现场指挥部按照危险化学品事故应急预案的规定迅速组建各应急工作小组，确定行动方案，统一指挥调度，开展应急处置与救援工作。</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危险化学品生产安全事故应急指挥部与现场指挥部共同担负应急处置与救援工作的指挥任务，指挥协调各级各类应急救援队伍的工作，调配应急资源，安排工作计划任务。</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必要情况下，由上级指挥部接管指挥任务，生产安全事故应急指挥部和现场指挥部的工作组和人员接受上级的领导，并协助上级指挥机构开展工作。</w:t>
      </w:r>
    </w:p>
    <w:p>
      <w:pPr>
        <w:autoSpaceDE w:val="0"/>
        <w:autoSpaceDN w:val="0"/>
        <w:spacing w:line="360" w:lineRule="auto"/>
        <w:ind w:firstLine="560"/>
        <w:rPr>
          <w:rFonts w:ascii="仿宋" w:hAnsi="仿宋" w:eastAsia="仿宋" w:cs="仿宋"/>
          <w:color w:val="333333"/>
          <w:kern w:val="0"/>
          <w:sz w:val="32"/>
          <w:szCs w:val="32"/>
          <w:lang w:bidi="ar"/>
        </w:rPr>
      </w:pPr>
      <w:bookmarkStart w:id="344" w:name="_Toc12215"/>
      <w:bookmarkStart w:id="345" w:name="_Toc26593"/>
      <w:r>
        <w:rPr>
          <w:rFonts w:hint="eastAsia" w:ascii="仿宋" w:hAnsi="仿宋" w:eastAsia="仿宋" w:cs="仿宋"/>
          <w:color w:val="333333"/>
          <w:kern w:val="0"/>
          <w:sz w:val="32"/>
          <w:szCs w:val="32"/>
          <w:lang w:bidi="ar"/>
        </w:rPr>
        <w:t>4.4.4 应急联动</w:t>
      </w:r>
      <w:bookmarkEnd w:id="344"/>
      <w:bookmarkEnd w:id="345"/>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人民政府根据应急处置工作需要及时启动应急联动机制，向呼和浩特市人民政府和呼和浩特市应急管理局报告，请求支援。呼和浩特市应急管理局、上一级国家综合性消防救援队伍及相邻区域的国家综合性消防救援队伍、专业性消防救援队伍等应急救援力量接到通知后应立即给予援助。</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346" w:name="_Toc11920"/>
      <w:bookmarkStart w:id="347" w:name="_Toc12022"/>
      <w:bookmarkStart w:id="348" w:name="_Toc30504"/>
      <w:bookmarkStart w:id="349" w:name="_Toc7246"/>
      <w:bookmarkStart w:id="350" w:name="_Toc7944"/>
      <w:bookmarkStart w:id="351" w:name="_Toc19669"/>
      <w:bookmarkStart w:id="352" w:name="_Toc8491"/>
      <w:bookmarkStart w:id="353" w:name="_Toc22942"/>
      <w:bookmarkStart w:id="354" w:name="_Toc13965"/>
      <w:bookmarkStart w:id="355" w:name="_Toc21287"/>
      <w:bookmarkStart w:id="356" w:name="_Toc11776"/>
      <w:bookmarkStart w:id="357" w:name="_Toc23424"/>
      <w:r>
        <w:rPr>
          <w:rFonts w:hint="eastAsia" w:ascii="仿宋" w:hAnsi="仿宋" w:eastAsia="仿宋" w:cs="仿宋"/>
          <w:b/>
          <w:bCs/>
          <w:color w:val="333333"/>
          <w:sz w:val="32"/>
          <w:szCs w:val="32"/>
          <w:shd w:val="clear" w:color="auto" w:fill="FFFFFF"/>
        </w:rPr>
        <w:t>4.5 处置措施</w:t>
      </w:r>
      <w:bookmarkEnd w:id="346"/>
      <w:bookmarkEnd w:id="347"/>
      <w:bookmarkEnd w:id="348"/>
      <w:bookmarkEnd w:id="349"/>
      <w:bookmarkEnd w:id="350"/>
      <w:bookmarkEnd w:id="351"/>
      <w:bookmarkEnd w:id="352"/>
      <w:bookmarkEnd w:id="353"/>
      <w:bookmarkEnd w:id="354"/>
      <w:bookmarkEnd w:id="355"/>
      <w:bookmarkEnd w:id="356"/>
      <w:bookmarkEnd w:id="357"/>
    </w:p>
    <w:p>
      <w:pPr>
        <w:autoSpaceDE w:val="0"/>
        <w:autoSpaceDN w:val="0"/>
        <w:spacing w:line="360" w:lineRule="auto"/>
        <w:ind w:firstLine="560"/>
        <w:rPr>
          <w:rFonts w:ascii="仿宋" w:hAnsi="仿宋" w:eastAsia="仿宋" w:cs="仿宋"/>
          <w:color w:val="333333"/>
          <w:kern w:val="0"/>
          <w:sz w:val="32"/>
          <w:szCs w:val="32"/>
          <w:lang w:bidi="ar"/>
        </w:rPr>
      </w:pPr>
      <w:bookmarkStart w:id="358" w:name="_Toc31869"/>
      <w:bookmarkStart w:id="359" w:name="_Toc1375"/>
      <w:r>
        <w:rPr>
          <w:rFonts w:hint="eastAsia" w:ascii="仿宋" w:hAnsi="仿宋" w:eastAsia="仿宋" w:cs="仿宋"/>
          <w:color w:val="333333"/>
          <w:kern w:val="0"/>
          <w:sz w:val="32"/>
          <w:szCs w:val="32"/>
          <w:lang w:bidi="ar"/>
        </w:rPr>
        <w:t>4.5.1 现场应急响应措施</w:t>
      </w:r>
      <w:bookmarkEnd w:id="358"/>
      <w:bookmarkEnd w:id="359"/>
    </w:p>
    <w:p>
      <w:pPr>
        <w:autoSpaceDE w:val="0"/>
        <w:autoSpaceDN w:val="0"/>
        <w:spacing w:line="360" w:lineRule="auto"/>
        <w:ind w:firstLine="560"/>
        <w:rPr>
          <w:rFonts w:ascii="仿宋" w:hAnsi="仿宋" w:eastAsia="仿宋" w:cs="仿宋"/>
          <w:color w:val="333333"/>
          <w:kern w:val="0"/>
          <w:sz w:val="32"/>
          <w:szCs w:val="32"/>
          <w:lang w:bidi="ar"/>
        </w:rPr>
      </w:pPr>
      <w:bookmarkStart w:id="360" w:name="_Toc14852"/>
      <w:bookmarkStart w:id="361" w:name="_Toc24587"/>
      <w:bookmarkStart w:id="362" w:name="_Toc18039"/>
      <w:bookmarkStart w:id="363" w:name="_Toc10460"/>
      <w:r>
        <w:rPr>
          <w:rFonts w:hint="eastAsia" w:ascii="仿宋" w:hAnsi="仿宋" w:eastAsia="仿宋" w:cs="仿宋"/>
          <w:color w:val="333333"/>
          <w:kern w:val="0"/>
          <w:sz w:val="32"/>
          <w:szCs w:val="32"/>
          <w:lang w:bidi="ar"/>
        </w:rPr>
        <w:t>（1）综合协调组</w:t>
      </w:r>
      <w:bookmarkEnd w:id="360"/>
      <w:bookmarkEnd w:id="361"/>
      <w:bookmarkEnd w:id="362"/>
      <w:bookmarkEnd w:id="363"/>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根据危化品生产安全事故现场动态协调各应急工作组迅速就位；协调各应急工作组的工作及征调应急物资；组织专家顾问组、事发地镇、街道、事发单位负责人迅速制定应急处置方案，向各应急工作组传达现场指挥部指令；对应急处置有关信息进行汇总、传递和向上级报告。</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（2）专业处置组</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依据事故单位先期处置事故信息汇总，现场指挥部组织专家迅速判定危险化学品生产安全事故单位发生火灾、爆炸、中毒和窒息等事故产生原因（明确激发能源）、发生部位、先期处置已采取措施适宜性、先期处置采取的措施是否满足防止事故扩大要求，重点判定危险源隔离、防护措施是否到位。</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在初步判定的基础上评估事故可能导致的后果，根据事故现场事态变化明确应调动的应急救援力量（包括应急救援力量和应急救援物资），迅速组织开展抢险工作，控制危险源、减轻或者消除危害，并标明危险区域。同时应控制、记录进入事故救援核心区的人员数量，确保应急救援人员配备必要的安全防护装备进入现场，如有受困人员应协助受困人员转移到安全区域。事故结束后应做好人员洗消、车辆装备、环境洗消。</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（3）综合保障组</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综合保障组按照现场指挥部指令启用玉泉区人民政府预算预备费或者预算安排的应急经费和储备的应急救援、救灾物资，必要时依法征用其他急需物资、设备、设施、工具。同时向受到事故影响的人员提供生活后勤保障。保障应急工作组之间通信畅通，及时掌控各应急工作组应急处置动态信息，为综合协调组提供信息保障，同时与玉泉区相关部门和镇人民政府、街道办事处、服务中心、各村及社区做好信息通报与沟通。</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（4）安全疏散组</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安全疏散组按照现场指挥部指令确定警戒隔离区，在警戒隔离区边界设置警示标志，并设专人负责警戒；安全疏散组将警戒隔离区内与事故应急处置无关的人员撤离至安全区，疏散过程中应避免横穿危险区，并注意根据危险化学品的危险特性，采取简易有效的保护措施；根据事故发展、应急处置和动态监测的情况，及时调整警戒隔离区范围，按照现场指挥部指令对警戒区域内道路实行交通管制，严禁无关车辆、人员进入；保证抢险救灾物资、救援装备以及基本生活物资应急通道畅通。</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（5）医疗救治组</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医疗救治组按照现场指挥部指令就近安排受伤人员进行急救，重症人员要及时转移至玉泉区医院或转运至市级医院进行救治。视情增派医疗卫生专家和卫生应急队伍、调配急需医药物资。严格落实保护公众健康的措施，做好受影响人员的心理援助。</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（6）环境保护组</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开展环境、气象应急监测，追踪研判污染范围、程度和发展趋势；向现场指挥部提供动态监测信息；协调监督具有相关资质第三方服务机构清除危险化学品事故现场残存易燃易爆、有毒有害物质及洗消污水。</w:t>
      </w:r>
    </w:p>
    <w:p>
      <w:pPr>
        <w:autoSpaceDE w:val="0"/>
        <w:autoSpaceDN w:val="0"/>
        <w:spacing w:line="360" w:lineRule="auto"/>
        <w:ind w:firstLine="560"/>
        <w:rPr>
          <w:rFonts w:ascii="仿宋" w:hAnsi="仿宋" w:eastAsia="仿宋" w:cs="仿宋"/>
          <w:color w:val="333333"/>
          <w:kern w:val="0"/>
          <w:sz w:val="32"/>
          <w:szCs w:val="32"/>
          <w:lang w:bidi="ar"/>
        </w:rPr>
      </w:pPr>
      <w:bookmarkStart w:id="364" w:name="_Toc31366"/>
      <w:bookmarkStart w:id="365" w:name="_Toc26254"/>
      <w:bookmarkStart w:id="366" w:name="_Toc26999"/>
      <w:bookmarkStart w:id="367" w:name="_Toc22347"/>
      <w:r>
        <w:rPr>
          <w:rFonts w:hint="eastAsia" w:ascii="仿宋" w:hAnsi="仿宋" w:eastAsia="仿宋" w:cs="仿宋"/>
          <w:color w:val="333333"/>
          <w:kern w:val="0"/>
          <w:sz w:val="32"/>
          <w:szCs w:val="32"/>
          <w:lang w:bidi="ar"/>
        </w:rPr>
        <w:t>（7）新闻发布组</w:t>
      </w:r>
      <w:bookmarkEnd w:id="364"/>
      <w:bookmarkEnd w:id="365"/>
      <w:bookmarkEnd w:id="366"/>
      <w:bookmarkEnd w:id="367"/>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新闻发布组按照现场指挥部指令组织起草新闻发布稿和危险化学品事故情况通告，组织接待记者，开展舆情监测和应对工作。</w:t>
      </w:r>
    </w:p>
    <w:p>
      <w:pPr>
        <w:autoSpaceDE w:val="0"/>
        <w:autoSpaceDN w:val="0"/>
        <w:spacing w:line="360" w:lineRule="auto"/>
        <w:ind w:firstLine="560"/>
        <w:rPr>
          <w:rFonts w:ascii="仿宋" w:hAnsi="仿宋" w:eastAsia="仿宋" w:cs="仿宋"/>
          <w:color w:val="333333"/>
          <w:kern w:val="0"/>
          <w:sz w:val="32"/>
          <w:szCs w:val="32"/>
          <w:lang w:bidi="ar"/>
        </w:rPr>
      </w:pPr>
      <w:bookmarkStart w:id="368" w:name="_Toc5377"/>
      <w:bookmarkStart w:id="369" w:name="_Toc3594"/>
      <w:bookmarkStart w:id="370" w:name="_Toc16505"/>
      <w:bookmarkStart w:id="371" w:name="_Toc31106"/>
      <w:r>
        <w:rPr>
          <w:rFonts w:hint="eastAsia" w:ascii="仿宋" w:hAnsi="仿宋" w:eastAsia="仿宋" w:cs="仿宋"/>
          <w:color w:val="333333"/>
          <w:kern w:val="0"/>
          <w:sz w:val="32"/>
          <w:szCs w:val="32"/>
          <w:lang w:bidi="ar"/>
        </w:rPr>
        <w:t>（8）专家顾问组</w:t>
      </w:r>
      <w:bookmarkEnd w:id="368"/>
      <w:bookmarkEnd w:id="369"/>
      <w:bookmarkEnd w:id="370"/>
      <w:bookmarkEnd w:id="371"/>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依据危险化学品生产安全事故动态，分析研判，提出应急处置建议，指导应急处置工作。</w:t>
      </w:r>
    </w:p>
    <w:p>
      <w:pPr>
        <w:pStyle w:val="26"/>
        <w:numPr>
          <w:ilvl w:val="0"/>
          <w:numId w:val="2"/>
        </w:numPr>
        <w:rPr>
          <w:rFonts w:ascii="仿宋" w:hAnsi="仿宋" w:eastAsia="仿宋" w:cs="仿宋"/>
          <w:color w:val="333333"/>
          <w:sz w:val="32"/>
          <w:szCs w:val="32"/>
          <w:lang w:eastAsia="zh-CN" w:bidi="ar"/>
        </w:rPr>
      </w:pPr>
      <w:r>
        <w:rPr>
          <w:rFonts w:hint="eastAsia" w:ascii="仿宋" w:hAnsi="仿宋" w:eastAsia="仿宋" w:cs="仿宋"/>
          <w:color w:val="333333"/>
          <w:sz w:val="32"/>
          <w:szCs w:val="32"/>
          <w:lang w:eastAsia="zh-CN" w:bidi="ar"/>
        </w:rPr>
        <w:t>事故调查组</w:t>
      </w:r>
    </w:p>
    <w:p>
      <w:pPr>
        <w:pStyle w:val="26"/>
        <w:numPr>
          <w:ilvl w:val="255"/>
          <w:numId w:val="0"/>
        </w:numPr>
        <w:rPr>
          <w:rFonts w:ascii="仿宋" w:hAnsi="仿宋" w:eastAsia="仿宋" w:cs="仿宋"/>
          <w:color w:val="333333"/>
          <w:sz w:val="32"/>
          <w:szCs w:val="32"/>
          <w:lang w:eastAsia="zh-CN" w:bidi="ar"/>
        </w:rPr>
      </w:pPr>
      <w:r>
        <w:rPr>
          <w:rFonts w:hint="eastAsia" w:ascii="仿宋" w:hAnsi="仿宋" w:eastAsia="仿宋" w:cs="仿宋"/>
          <w:color w:val="333333"/>
          <w:sz w:val="32"/>
          <w:szCs w:val="32"/>
          <w:lang w:eastAsia="zh-CN" w:bidi="ar"/>
        </w:rPr>
        <w:t xml:space="preserve">    </w:t>
      </w:r>
      <w:r>
        <w:rPr>
          <w:rFonts w:hint="eastAsia" w:ascii="仿宋" w:hAnsi="仿宋" w:eastAsia="仿宋" w:cs="仿宋"/>
          <w:color w:val="333333"/>
          <w:sz w:val="32"/>
          <w:szCs w:val="32"/>
          <w:shd w:val="clear" w:color="auto" w:fill="FFFFFF"/>
          <w:lang w:eastAsia="zh-CN"/>
        </w:rPr>
        <w:t>收集事故现场有关物证；查明事故发生的经过、原因、人员伤亡情况及直接经济损失；认定事故的性质和事故责任；形成事故调查报告；提出事故处理意见及防范措施。</w:t>
      </w:r>
    </w:p>
    <w:p>
      <w:pPr>
        <w:autoSpaceDE w:val="0"/>
        <w:autoSpaceDN w:val="0"/>
        <w:spacing w:line="360" w:lineRule="auto"/>
        <w:ind w:firstLine="560"/>
        <w:rPr>
          <w:rFonts w:ascii="仿宋" w:hAnsi="仿宋" w:eastAsia="仿宋" w:cs="仿宋"/>
          <w:color w:val="333333"/>
          <w:kern w:val="0"/>
          <w:sz w:val="32"/>
          <w:szCs w:val="32"/>
          <w:lang w:bidi="ar"/>
        </w:rPr>
      </w:pPr>
      <w:bookmarkStart w:id="372" w:name="_Toc16474"/>
      <w:bookmarkStart w:id="373" w:name="_Toc25387"/>
      <w:bookmarkStart w:id="374" w:name="_Toc12075"/>
      <w:bookmarkStart w:id="375" w:name="_Toc27749"/>
      <w:bookmarkStart w:id="376" w:name="_Toc11495"/>
      <w:r>
        <w:rPr>
          <w:rFonts w:hint="eastAsia" w:ascii="仿宋" w:hAnsi="仿宋" w:eastAsia="仿宋" w:cs="仿宋"/>
          <w:color w:val="333333"/>
          <w:kern w:val="0"/>
          <w:sz w:val="32"/>
          <w:szCs w:val="32"/>
          <w:lang w:bidi="ar"/>
        </w:rPr>
        <w:t>4.5.2 现场处置要点</w:t>
      </w:r>
      <w:bookmarkEnd w:id="372"/>
      <w:bookmarkEnd w:id="373"/>
      <w:bookmarkEnd w:id="374"/>
      <w:bookmarkEnd w:id="375"/>
      <w:bookmarkEnd w:id="376"/>
    </w:p>
    <w:p>
      <w:pPr>
        <w:autoSpaceDE w:val="0"/>
        <w:autoSpaceDN w:val="0"/>
        <w:spacing w:line="360" w:lineRule="auto"/>
        <w:ind w:firstLine="560"/>
        <w:rPr>
          <w:rFonts w:ascii="仿宋" w:hAnsi="仿宋" w:eastAsia="仿宋" w:cs="仿宋"/>
          <w:color w:val="333333"/>
          <w:kern w:val="0"/>
          <w:sz w:val="32"/>
          <w:szCs w:val="32"/>
          <w:lang w:bidi="ar"/>
        </w:rPr>
      </w:pPr>
      <w:bookmarkStart w:id="377" w:name="_Toc26093"/>
      <w:bookmarkStart w:id="378" w:name="_Toc3548"/>
      <w:bookmarkStart w:id="379" w:name="_Toc15533"/>
      <w:bookmarkStart w:id="380" w:name="_Toc3763"/>
      <w:r>
        <w:rPr>
          <w:rFonts w:hint="eastAsia" w:ascii="仿宋" w:hAnsi="仿宋" w:eastAsia="仿宋" w:cs="仿宋"/>
          <w:color w:val="333333"/>
          <w:kern w:val="0"/>
          <w:sz w:val="32"/>
          <w:szCs w:val="32"/>
          <w:lang w:bidi="ar"/>
        </w:rPr>
        <w:t>（1）危险化学品火灾事故现场处置要点</w:t>
      </w:r>
      <w:bookmarkEnd w:id="377"/>
      <w:bookmarkEnd w:id="378"/>
      <w:bookmarkEnd w:id="379"/>
      <w:bookmarkEnd w:id="380"/>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发生危险化学品火灾事故，立即拨打“110”、“119”报警电话，如有人员受伤同时拨打“120”急救电话。</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现场指挥部根据火灾发生位置、危险化学品性质及火势扩大的可能性，综合考虑火灾发生区域的周围环境及火灾可能对周边的影响。</w:t>
      </w:r>
      <w:bookmarkStart w:id="381" w:name="_Hlk89019982"/>
      <w:r>
        <w:rPr>
          <w:rFonts w:hint="eastAsia" w:ascii="仿宋" w:hAnsi="仿宋" w:eastAsia="仿宋" w:cs="仿宋"/>
          <w:color w:val="333333"/>
          <w:kern w:val="0"/>
          <w:sz w:val="32"/>
          <w:szCs w:val="32"/>
          <w:lang w:bidi="ar"/>
        </w:rPr>
        <w:t>同时根据事发单位、事发地镇、街道、行业主管部门、专家顾问组建议迅速制定灭火方案。制订灭火方案时应首先考虑采取适宜的工艺措施，控制危险源，同时根据危险化学品的性质选用合适的灭火剂及灭火方法。</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现场指挥部视情况调集相应的消防救援力量，如综合性消防救援队伍、专业应急救援队伍、基层和志愿者应急救援队伍、专家等救援力量赶赴现场。</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实施灭火时，注意配备必要的个体防护装备（消防服、消防靴、消防头盔、隔离式空气呼吸器、对讲机、照明灯具、便携式四合一检测仪等），如超出处置能力应立即撤离。</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现场指挥部视情况科学合理划定警戒区域，隔离外围群众、疏散警戒范围内的群众，疏散过程中应注意群众的个体防护。</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现场指挥部视情况下达指令对受伤人员开展医疗救治。</w:t>
      </w:r>
      <w:bookmarkEnd w:id="381"/>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现场指挥部视情况下达指令开展污染物应急监测，为应急救援工作提供技术支撑。</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现场指挥部视情况下达交通管制指令，确保应急物资、基本生活物资满足应急处置需要，同时维持抢险救援秩序，维护社会治安。</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现场指挥部根据现场事态发展及时调整救援方案，并及时将现场情况上报生产安全事故应急指挥部。</w:t>
      </w:r>
    </w:p>
    <w:p>
      <w:pPr>
        <w:autoSpaceDE w:val="0"/>
        <w:autoSpaceDN w:val="0"/>
        <w:spacing w:line="360" w:lineRule="auto"/>
        <w:ind w:firstLine="560"/>
        <w:rPr>
          <w:rFonts w:ascii="仿宋" w:hAnsi="仿宋" w:eastAsia="仿宋" w:cs="仿宋"/>
          <w:color w:val="333333"/>
          <w:kern w:val="0"/>
          <w:sz w:val="32"/>
          <w:szCs w:val="32"/>
          <w:lang w:bidi="ar"/>
        </w:rPr>
      </w:pPr>
      <w:bookmarkStart w:id="382" w:name="_Toc27932"/>
      <w:bookmarkStart w:id="383" w:name="_Toc31815"/>
      <w:bookmarkStart w:id="384" w:name="_Toc13566"/>
      <w:bookmarkStart w:id="385" w:name="_Toc2008"/>
      <w:r>
        <w:rPr>
          <w:rFonts w:hint="eastAsia" w:ascii="仿宋" w:hAnsi="仿宋" w:eastAsia="仿宋" w:cs="仿宋"/>
          <w:color w:val="333333"/>
          <w:kern w:val="0"/>
          <w:sz w:val="32"/>
          <w:szCs w:val="32"/>
          <w:lang w:bidi="ar"/>
        </w:rPr>
        <w:t>（2）危险化学品爆炸事故现场处置要点</w:t>
      </w:r>
      <w:bookmarkEnd w:id="382"/>
      <w:bookmarkEnd w:id="383"/>
      <w:bookmarkEnd w:id="384"/>
      <w:bookmarkEnd w:id="385"/>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发生危险化学品爆炸事故，立即拨打“110”、“119”报警电话，如有人员受伤同时拨打“120”急救电话。</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根据爆炸事故发生位置、爆炸类型（物理爆炸、化学爆炸）及爆炸扩大的可能性，综合考虑爆炸发生区域的周围环境及可能对周边的影响。同时根据事发单位、事发地镇、街道、行业主管部门、专家顾问组建议迅速制定应急处置方案。制订爆炸处置方案时应首先考虑采取适宜的工艺措施，控制危险源，防止发生次生、衍生灾害及二次爆炸的可能性。</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现场指挥部视情况调集相应的消防救援力量，如综合性消防救援队伍、专业应急救援队伍、基层和志愿者应急救援队伍、专家等救援力量赶赴现场。</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消防救援人员，注意配备必要的个体防护装备（消防服、消防靴、消防头盔、隔离式空气呼吸器、对讲机、照明灯具、便携式四合一检测仪等），如超出处置能力应立即撤离。</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现场指挥部视情况科学合理划定警戒区域，隔离外围群众、疏散警戒范围内的群众，疏散过程中应注意群众的个体防护。</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现场指挥部视情况下达指令对受伤人员开展医疗救治。</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现场指挥部视情况下达指令开展易燃易爆应急监测及气象监测，为应急救援工作提供技术支撑。</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现场指挥部视情况下达交通管制指令，确保应急物资、基本生活物资满足应急处置需要，同时维持抢险救援秩序，维护社会治安。</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现场指挥部根据现场事态发展及时调整救援方案，并及时将现场情况上报生产安全事故应急指挥部。</w:t>
      </w:r>
    </w:p>
    <w:p>
      <w:pPr>
        <w:numPr>
          <w:ilvl w:val="0"/>
          <w:numId w:val="3"/>
        </w:numPr>
        <w:autoSpaceDE w:val="0"/>
        <w:autoSpaceDN w:val="0"/>
        <w:spacing w:line="360" w:lineRule="auto"/>
        <w:ind w:firstLine="560"/>
        <w:rPr>
          <w:rFonts w:ascii="仿宋" w:hAnsi="仿宋" w:eastAsia="仿宋" w:cs="仿宋"/>
          <w:color w:val="333333"/>
          <w:kern w:val="0"/>
          <w:sz w:val="32"/>
          <w:szCs w:val="32"/>
          <w:lang w:bidi="ar"/>
        </w:rPr>
      </w:pPr>
      <w:bookmarkStart w:id="386" w:name="_Toc3132"/>
      <w:bookmarkStart w:id="387" w:name="_Toc25515"/>
      <w:bookmarkStart w:id="388" w:name="_Toc9041"/>
      <w:bookmarkStart w:id="389" w:name="_Toc6569"/>
      <w:r>
        <w:rPr>
          <w:rFonts w:hint="eastAsia" w:ascii="仿宋" w:hAnsi="仿宋" w:eastAsia="仿宋" w:cs="仿宋"/>
          <w:color w:val="333333"/>
          <w:kern w:val="0"/>
          <w:sz w:val="32"/>
          <w:szCs w:val="32"/>
          <w:lang w:bidi="ar"/>
        </w:rPr>
        <w:t>危险化学品泄漏事故现场处置要点</w:t>
      </w:r>
      <w:bookmarkEnd w:id="386"/>
      <w:bookmarkEnd w:id="387"/>
      <w:bookmarkEnd w:id="388"/>
      <w:bookmarkEnd w:id="389"/>
    </w:p>
    <w:p>
      <w:pPr>
        <w:autoSpaceDE w:val="0"/>
        <w:autoSpaceDN w:val="0"/>
        <w:spacing w:line="360" w:lineRule="auto"/>
        <w:ind w:firstLine="560"/>
        <w:rPr>
          <w:rFonts w:eastAsia="仿宋"/>
        </w:rPr>
      </w:pPr>
      <w:r>
        <w:rPr>
          <w:rFonts w:hint="eastAsia" w:ascii="仿宋" w:hAnsi="仿宋" w:eastAsia="仿宋" w:cs="仿宋"/>
          <w:color w:val="333333"/>
          <w:kern w:val="0"/>
          <w:sz w:val="32"/>
          <w:szCs w:val="32"/>
          <w:lang w:bidi="ar"/>
        </w:rPr>
        <w:t>发生危险化学品泄漏事故，立即拨打“110”、“119”报警电话，如有人员受伤同时拨打“120”急救电话。</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根据泄漏事故发生位置、危险化学品性质（主要是沸点、闪点、爆炸极限等）及泄漏易燃易爆、有毒有害物质扩大的可能性，综合考虑泄漏发生区域周围环境（环境功能区、人口密度等）及可能对周边的影响，明确事故现场风向，确保救援人员位于泄漏和事故点的上风向。同时根据事发单位、事发地镇、街道、行业主管部门、专家顾问组建议迅速制定应急处置方案。制订泄漏处置方案时应首先考虑采取适宜的工艺措施、堵漏及工程抢险等，控制危险源，防止发生次生、衍生灾害。</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现场指挥部视情况调集相应的消防救援力量，如综合性消防救援队伍、专业应急救援队伍、基层和志愿者应急救援队伍、专家等救援力量赶赴现场。</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根据泄漏介质毒性和人员所处危险区域，确定相应的防护等级，一级防护专业处置人员穿戴内置式重型防化服、全面防静电内外衣，二级防护专业处置人员穿戴全封闭式防化服、全棉防静电内外衣、正压式空气呼吸器、防化手套、防化靴等，三级防护穿戴简易防化服、滤毒罐、抢险救援手套、抢险救援靴等。</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现场指挥部视情况科学合理划定警戒区域，隔离外围群众、疏散警戒范围内的群众，疏散过程中应注意群众的个体防护。</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现场指挥部视情况下达指令对受伤人员开展医疗救治。</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现场指挥部视情况下达指令开展易燃易爆、有毒有害应急监测及气象监测，加强大气、土壤、气象信息等监测，明确泄漏危及周围环境的可能性，为应急救援工作提供技术支撑。</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现场指挥部视情况下达交通管制指令，确保应急物资、基本生活物资满足应急处置需要，同时维持抢险救援秩序，维护社会治安。</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现场指挥部根据现场事态发展及时调整救援方案，并及时将现场情况上报生产安全事故应急指挥部。</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（4）危险化学品中毒和窒息事故现场处置要点</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发生危险化学品中毒和窒息事故，立即拨打“110”、“119”报警电话和“120”急救电话。</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根据中毒和窒息事故发生位置、危险化学品性质，综合考虑中毒和窒息事故发生区域周围环境及可能对周边的影响。同时根据事发单位、事发地镇、街道、行业主管部门、专家顾问组建议迅速制定应急处置方案。制订中毒和窒息事故处置方案时应首先考虑采取适宜的工艺措施、堵漏、倒罐转输、惰性气体置换、放空点燃等，控制危险源，防止发生次生、衍生灾害。</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现场指挥部视情况调集相应的消防救援力量，如综合性消防救援队伍、专业应急救援队伍、基层和志愿者应急救援队伍、专家等救援力量赶赴现场。</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根据引发中毒和窒息事故介质的危险性及划定的危险区域，确定处置人员的防护等级，明确事故现场风向，确保救援人员位于泄漏和事故点的上风向。毒害介质对人体的危害未知或怀疑存在高度危害时，事故现场涉及喷溅、浸渍或意外的接触可能损害皮肤或可能被皮肤吸收时应采取一级防护，处置人员应穿戴内置式重型防化服、全棉防静电内外衣，视情使用喷雾水枪进行掩护。同时处置人员在防护方面还应注意以下几点：当毒害性介质为腐蚀品时防护器材应具有防腐蚀性能；当毒害介质为压缩气体和液化气体时，处置人员应加强防冻措施；当毒害介质具有易燃易爆特性时应使用防爆器材，处置人员还应随身携带对讲机、照明灯具、便携式四合一检测仪等，如超出处置能力应立即撤离。</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现场指挥部视情况科学合理划定警戒区域，隔离外围群众、疏散警戒范围内的群众，疏散过程中应注意群众的个体防护，组织群众沿上风向指定路线疏散。</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现场指挥部视情况下达指令对受伤人员开展医疗救治。</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现场指挥部视情况下达指令开展毒害介质应急监测及气象监测，加强大气、土壤、气象信息等监测，明确毒害介质危及周围环境的可能性，为应急救援工作提供技术支撑。</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现场指挥部视情况下达交通管制指令，确保应急物资、基本生活物资满足应急处置需要，同时维持抢险救援秩序，维护社会治安。</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受到有毒或腐蚀性泄漏介质污染的人员、装备和环境都应洗消，洗消应坚持合理防护、及时彻底、保障重点、保护环境、避免洗消过度的原则。</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现场指挥部根据现场事态发展及时调整救援方案，并及时将现场情况上报生产安全事故应急指挥部。</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390" w:name="_Toc4027"/>
      <w:bookmarkStart w:id="391" w:name="_Toc12903"/>
      <w:bookmarkStart w:id="392" w:name="_Toc21670"/>
      <w:bookmarkStart w:id="393" w:name="_Toc1660"/>
      <w:bookmarkStart w:id="394" w:name="_Toc12023"/>
      <w:bookmarkStart w:id="395" w:name="_Toc31402"/>
      <w:bookmarkStart w:id="396" w:name="_Toc7199"/>
      <w:bookmarkStart w:id="397" w:name="_Toc20552"/>
      <w:bookmarkStart w:id="398" w:name="_Toc8727"/>
      <w:bookmarkStart w:id="399" w:name="_Toc29937"/>
      <w:bookmarkStart w:id="400" w:name="_Toc4897"/>
      <w:bookmarkStart w:id="401" w:name="_Toc22864"/>
      <w:bookmarkStart w:id="402" w:name="_Toc23600"/>
      <w:bookmarkStart w:id="403" w:name="_Toc20807"/>
      <w:bookmarkStart w:id="404" w:name="_Toc28188"/>
      <w:r>
        <w:rPr>
          <w:rFonts w:hint="eastAsia" w:ascii="仿宋" w:hAnsi="仿宋" w:eastAsia="仿宋" w:cs="仿宋"/>
          <w:b/>
          <w:bCs/>
          <w:color w:val="333333"/>
          <w:sz w:val="32"/>
          <w:szCs w:val="32"/>
          <w:shd w:val="clear" w:color="auto" w:fill="FFFFFF"/>
        </w:rPr>
        <w:t>4.</w:t>
      </w:r>
      <w:bookmarkEnd w:id="390"/>
      <w:bookmarkEnd w:id="391"/>
      <w:bookmarkEnd w:id="392"/>
      <w:r>
        <w:rPr>
          <w:rFonts w:hint="eastAsia" w:ascii="仿宋" w:hAnsi="仿宋" w:eastAsia="仿宋" w:cs="仿宋"/>
          <w:b/>
          <w:bCs/>
          <w:color w:val="333333"/>
          <w:sz w:val="32"/>
          <w:szCs w:val="32"/>
          <w:shd w:val="clear" w:color="auto" w:fill="FFFFFF"/>
        </w:rPr>
        <w:t>6 扩大响应</w:t>
      </w:r>
      <w:bookmarkEnd w:id="393"/>
      <w:bookmarkEnd w:id="394"/>
      <w:bookmarkEnd w:id="395"/>
      <w:bookmarkEnd w:id="396"/>
      <w:bookmarkEnd w:id="397"/>
      <w:bookmarkEnd w:id="398"/>
      <w:bookmarkEnd w:id="399"/>
      <w:bookmarkEnd w:id="400"/>
      <w:bookmarkEnd w:id="401"/>
      <w:bookmarkEnd w:id="402"/>
      <w:bookmarkEnd w:id="403"/>
      <w:bookmarkEnd w:id="404"/>
    </w:p>
    <w:p>
      <w:pPr>
        <w:autoSpaceDE w:val="0"/>
        <w:autoSpaceDN w:val="0"/>
        <w:spacing w:line="360" w:lineRule="auto"/>
        <w:ind w:firstLine="560"/>
        <w:rPr>
          <w:rFonts w:ascii="仿宋" w:hAnsi="仿宋" w:eastAsia="仿宋" w:cs="仿宋"/>
          <w:color w:val="333333"/>
          <w:kern w:val="0"/>
          <w:sz w:val="32"/>
          <w:szCs w:val="32"/>
          <w:lang w:bidi="ar"/>
        </w:rPr>
      </w:pPr>
      <w:bookmarkStart w:id="405" w:name="_Toc29396"/>
      <w:bookmarkStart w:id="406" w:name="_Toc21792"/>
      <w:bookmarkStart w:id="407" w:name="_Toc24348"/>
      <w:r>
        <w:rPr>
          <w:rFonts w:hint="eastAsia" w:ascii="仿宋" w:hAnsi="仿宋" w:eastAsia="仿宋" w:cs="仿宋"/>
          <w:color w:val="333333"/>
          <w:kern w:val="0"/>
          <w:sz w:val="32"/>
          <w:szCs w:val="32"/>
          <w:lang w:bidi="ar"/>
        </w:rPr>
        <w:t>如果危险化学品生产安全事故进一步扩大，玉泉区现有应急资源和救援力量难以有效处置时，生产安全事故应急指挥部应立即向玉泉区人民</w:t>
      </w:r>
      <w:r>
        <w:rPr>
          <w:rFonts w:hint="eastAsia" w:ascii="仿宋" w:hAnsi="仿宋" w:eastAsia="仿宋" w:cs="仿宋"/>
          <w:color w:val="333333"/>
          <w:kern w:val="0"/>
          <w:sz w:val="32"/>
          <w:szCs w:val="32"/>
          <w:lang w:eastAsia="zh-CN" w:bidi="ar"/>
        </w:rPr>
        <w:t>政</w:t>
      </w:r>
      <w:r>
        <w:rPr>
          <w:rFonts w:hint="eastAsia" w:ascii="仿宋" w:hAnsi="仿宋" w:eastAsia="仿宋" w:cs="仿宋"/>
          <w:color w:val="333333"/>
          <w:kern w:val="0"/>
          <w:sz w:val="32"/>
          <w:szCs w:val="32"/>
          <w:lang w:bidi="ar"/>
        </w:rPr>
        <w:t>府汇报，向呼和浩特市应急管理局及相邻区县请求支援。</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涉及跨区县、跨领域的影响严重的事故紧急处置方案，报请上级主管部门协助解决。</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以下情况可适度提高响应等级：若火势扩大，不受控制；发生二次或多次爆炸，且爆炸威力变大；泄漏量得不到控制，并有变大的趋势；伤亡人员较多，救援力量不足；中毒人员较多，并有扩大趋势；储备物资不足，满足不了救援需要；同时发生多起危险化学品生产安全事故，使得应急处置和救援难度上升、应急资源调度困难；危险化学品生产安全事故发生在重大活动举办、重要会议召开时期等。</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408" w:name="_Toc28470"/>
      <w:bookmarkStart w:id="409" w:name="_Toc27770"/>
      <w:bookmarkStart w:id="410" w:name="_Toc28754"/>
      <w:bookmarkStart w:id="411" w:name="_Toc28015"/>
      <w:bookmarkStart w:id="412" w:name="_Toc28812"/>
      <w:bookmarkStart w:id="413" w:name="_Toc31664"/>
      <w:bookmarkStart w:id="414" w:name="_Toc9597"/>
      <w:bookmarkStart w:id="415" w:name="_Toc2990"/>
      <w:bookmarkStart w:id="416" w:name="_Toc12676"/>
      <w:bookmarkStart w:id="417" w:name="_Toc5922"/>
      <w:bookmarkStart w:id="418" w:name="_Toc12563"/>
      <w:bookmarkStart w:id="419" w:name="_Toc12823"/>
      <w:r>
        <w:rPr>
          <w:rFonts w:hint="eastAsia" w:ascii="仿宋" w:hAnsi="仿宋" w:eastAsia="仿宋" w:cs="仿宋"/>
          <w:b/>
          <w:bCs/>
          <w:color w:val="333333"/>
          <w:sz w:val="32"/>
          <w:szCs w:val="32"/>
          <w:shd w:val="clear" w:color="auto" w:fill="FFFFFF"/>
        </w:rPr>
        <w:t>4.7 信息发布</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一般危险化学品安全生产事故信息的发布，由新闻发布组具体负责，依据应急处置进展动态发布信息，及时回应社会关切，澄清不实信息，正确引导社会舆论。信息发布的内容包括事件原因、影响范围、应对措施、需要公众配合采取的措施、公众防范常识和事件调查处理进展情况等。同时玉泉区新闻发布组应及时协助较大、重大、特别重大危险化学品安全生产事故信息发布工作。</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未经玉泉区人民政府或者生产安全事故应急指挥部批准，参与突发事件应急处置工作的各有关单位和个人不得擅自对外发布事件原因、伤亡数字、责任追究等相关信息。任何单位和个人不得编造、传播有关突发危险化学品事故事态发展或者应急处置工作的虚假信息。</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420" w:name="_Toc31326"/>
      <w:bookmarkStart w:id="421" w:name="_Toc28317"/>
      <w:bookmarkStart w:id="422" w:name="_Toc8841"/>
      <w:bookmarkStart w:id="423" w:name="_Toc7912"/>
      <w:bookmarkStart w:id="424" w:name="_Toc22923"/>
      <w:bookmarkStart w:id="425" w:name="_Toc26953"/>
      <w:bookmarkStart w:id="426" w:name="_Toc10682"/>
      <w:bookmarkStart w:id="427" w:name="_Toc8701"/>
      <w:bookmarkStart w:id="428" w:name="_Toc9185"/>
      <w:bookmarkStart w:id="429" w:name="_Toc5992"/>
      <w:bookmarkStart w:id="430" w:name="_Toc8682"/>
      <w:bookmarkStart w:id="431" w:name="_Toc20638"/>
      <w:bookmarkStart w:id="432" w:name="_Toc6625"/>
      <w:bookmarkStart w:id="433" w:name="_Toc10062"/>
      <w:bookmarkStart w:id="434" w:name="_Toc20191"/>
      <w:r>
        <w:rPr>
          <w:rFonts w:hint="eastAsia" w:ascii="仿宋" w:hAnsi="仿宋" w:eastAsia="仿宋" w:cs="仿宋"/>
          <w:b/>
          <w:bCs/>
          <w:color w:val="333333"/>
          <w:sz w:val="32"/>
          <w:szCs w:val="32"/>
          <w:shd w:val="clear" w:color="auto" w:fill="FFFFFF"/>
        </w:rPr>
        <w:t>4.8 响应结束</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pPr>
        <w:autoSpaceDE w:val="0"/>
        <w:autoSpaceDN w:val="0"/>
        <w:spacing w:line="360" w:lineRule="auto"/>
        <w:ind w:firstLine="560"/>
        <w:rPr>
          <w:rFonts w:ascii="仿宋" w:hAnsi="仿宋" w:eastAsia="仿宋" w:cs="仿宋"/>
          <w:color w:val="333333"/>
          <w:kern w:val="0"/>
          <w:sz w:val="32"/>
          <w:szCs w:val="32"/>
          <w:lang w:bidi="ar"/>
        </w:rPr>
      </w:pPr>
      <w:bookmarkStart w:id="435" w:name="br1_61"/>
      <w:bookmarkEnd w:id="435"/>
      <w:r>
        <w:rPr>
          <w:rFonts w:hint="eastAsia" w:ascii="仿宋" w:hAnsi="仿宋" w:eastAsia="仿宋" w:cs="仿宋"/>
          <w:color w:val="333333"/>
          <w:kern w:val="0"/>
          <w:sz w:val="32"/>
          <w:szCs w:val="32"/>
          <w:lang w:bidi="ar"/>
        </w:rPr>
        <w:t>当危险化学品事故现场得以控制，遇险人员得到解救，事故伤亡情况已核实清楚，环境监测符合有关标准，次生、衍生危害隐患消除后，现场应急处置工作即告结束。依据响应级别由现场指挥部根据事故现场处置情况及专家顾问组评估建议，报告生产安全事故应急指挥部批准后，由现场指挥部宣布应急结束，应急救援队伍撤离现场。应急结束后，现场指挥部应将情况及时通知参与事故处置的各有关单位，必要时由新闻发布组通过广播电台、电视台等新闻媒体向社会发布应急结束信息。</w:t>
      </w:r>
    </w:p>
    <w:p>
      <w:pPr>
        <w:pStyle w:val="3"/>
        <w:adjustRightInd w:val="0"/>
        <w:snapToGrid w:val="0"/>
        <w:ind w:firstLine="642" w:firstLineChars="200"/>
        <w:rPr>
          <w:rFonts w:hint="default" w:eastAsia="仿宋"/>
          <w:b/>
          <w:sz w:val="32"/>
        </w:rPr>
      </w:pPr>
      <w:bookmarkStart w:id="436" w:name="_Toc28876"/>
      <w:bookmarkStart w:id="437" w:name="_Toc25668"/>
      <w:bookmarkStart w:id="438" w:name="_Toc21630"/>
      <w:bookmarkStart w:id="439" w:name="_Toc16225"/>
      <w:bookmarkStart w:id="440" w:name="_Toc3883"/>
      <w:bookmarkStart w:id="441" w:name="_Toc29371"/>
      <w:bookmarkStart w:id="442" w:name="_Toc18633"/>
      <w:bookmarkStart w:id="443" w:name="_Toc5580"/>
      <w:bookmarkStart w:id="444" w:name="_Toc16086"/>
      <w:bookmarkStart w:id="445" w:name="_Toc10664"/>
      <w:bookmarkStart w:id="446" w:name="_Toc9131"/>
      <w:bookmarkStart w:id="447" w:name="_Toc26735"/>
      <w:bookmarkStart w:id="448" w:name="_Toc15192"/>
      <w:bookmarkStart w:id="449" w:name="_Toc11427"/>
      <w:bookmarkStart w:id="450" w:name="_Toc21846"/>
      <w:r>
        <w:rPr>
          <w:rFonts w:eastAsia="仿宋"/>
          <w:b/>
          <w:sz w:val="32"/>
        </w:rPr>
        <w:t>5</w:t>
      </w:r>
      <w:r>
        <w:rPr>
          <w:rFonts w:hint="eastAsia" w:eastAsia="仿宋"/>
          <w:b/>
          <w:sz w:val="32"/>
          <w:lang w:val="en-US" w:eastAsia="zh-CN"/>
        </w:rPr>
        <w:t xml:space="preserve"> </w:t>
      </w:r>
      <w:r>
        <w:rPr>
          <w:rFonts w:eastAsia="仿宋"/>
          <w:b/>
          <w:sz w:val="32"/>
        </w:rPr>
        <w:t>后期处置</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451" w:name="_Toc28841"/>
      <w:bookmarkStart w:id="452" w:name="_Toc27060"/>
      <w:bookmarkStart w:id="453" w:name="_Toc2750"/>
      <w:bookmarkStart w:id="454" w:name="_Toc284"/>
      <w:bookmarkStart w:id="455" w:name="_Toc11371"/>
      <w:bookmarkStart w:id="456" w:name="_Toc5187"/>
      <w:bookmarkStart w:id="457" w:name="_Toc25082"/>
      <w:bookmarkStart w:id="458" w:name="_Toc3244"/>
      <w:bookmarkStart w:id="459" w:name="_Toc4863"/>
      <w:bookmarkStart w:id="460" w:name="_Toc12881"/>
      <w:bookmarkStart w:id="461" w:name="_Toc26530"/>
      <w:bookmarkStart w:id="462" w:name="_Toc19372"/>
      <w:bookmarkStart w:id="463" w:name="_Toc15022"/>
      <w:bookmarkStart w:id="464" w:name="_Toc15111"/>
      <w:bookmarkStart w:id="465" w:name="_Toc13757"/>
      <w:r>
        <w:rPr>
          <w:rFonts w:hint="eastAsia" w:ascii="仿宋" w:hAnsi="仿宋" w:eastAsia="仿宋" w:cs="仿宋"/>
          <w:b/>
          <w:bCs/>
          <w:color w:val="333333"/>
          <w:sz w:val="32"/>
          <w:szCs w:val="32"/>
          <w:shd w:val="clear" w:color="auto" w:fill="FFFFFF"/>
        </w:rPr>
        <w:t>5.1 善后处置</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生产安全事故应急指挥部应当根据本地区遭受损失的情况，制定救助、补偿、抚慰、抚恤、安置等善后工作方案，对突发危险化学品事故伤亡人员、应急处置工作人员，以及紧急调集、征用有关单位及个人的物资，按照规定给予抚恤、补助或者补偿，并提供心理咨询及司法援助，妥善解决因处置突发危险化学品事故引发的矛盾和纠纷。</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由综合保障组负责将受灾群众安排在应急避难场所，组织配合相关单位为受灾群众供应生活必需品，做好受灾群众的基本生活保障工作，并配合医疗救治组进行应急避难场所卫生防疫工作。</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综合协调组根据具体事故情况组织协调玉泉区相关部门、有关单位适时抢修被损坏的交通、通信、供水、排水、供电、供气、供热、广播电视等公共设施。</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事发地镇人民政府、街道办事处和事发单位做好现场污染物清理、环境污染消除、事后恢复等工作，尽快恢复正常生产、生活秩序，消除事故后果和影响，确保社会稳定。</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事发地保险监管机构要组织、督促有关保险机构及时开展查勘和理赔工作。</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玉泉区应急管理局负责统筹社会救助工作，按照政府救济和社会救助相结合的原则，做好受灾群众的安置工作，会同玉泉区相关部门和有关单位组织救灾物资和生活必需品的调拨和发放，保障群众基本生活。</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466" w:name="_Toc2861"/>
      <w:bookmarkStart w:id="467" w:name="_Toc13642"/>
      <w:bookmarkStart w:id="468" w:name="_Toc11745"/>
      <w:bookmarkStart w:id="469" w:name="_Toc8392"/>
      <w:bookmarkStart w:id="470" w:name="_Toc17536"/>
      <w:bookmarkStart w:id="471" w:name="_Toc3957"/>
      <w:bookmarkStart w:id="472" w:name="_Toc32092"/>
      <w:bookmarkStart w:id="473" w:name="_Toc12704"/>
      <w:bookmarkStart w:id="474" w:name="_Toc29061"/>
      <w:bookmarkStart w:id="475" w:name="_Toc29516"/>
      <w:bookmarkStart w:id="476" w:name="_Toc18586"/>
      <w:bookmarkStart w:id="477" w:name="_Toc22341"/>
      <w:bookmarkStart w:id="478" w:name="_Toc10676"/>
      <w:bookmarkStart w:id="479" w:name="_Toc9382"/>
      <w:bookmarkStart w:id="480" w:name="_Toc18556"/>
      <w:r>
        <w:rPr>
          <w:rFonts w:hint="eastAsia" w:ascii="仿宋" w:hAnsi="仿宋" w:eastAsia="仿宋" w:cs="仿宋"/>
          <w:b/>
          <w:bCs/>
          <w:color w:val="333333"/>
          <w:sz w:val="32"/>
          <w:szCs w:val="32"/>
          <w:shd w:val="clear" w:color="auto" w:fill="FFFFFF"/>
        </w:rPr>
        <w:t>5.2 调查与评估</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玉泉区人民政府可委托玉泉区应急管理局直接组织事故调查组对一般事故进行事故调查，及时查明危险化学品事故发生经过和原因；组织</w:t>
      </w:r>
      <w:r>
        <w:rPr>
          <w:rFonts w:hint="eastAsia" w:ascii="仿宋" w:hAnsi="仿宋" w:eastAsia="仿宋" w:cs="仿宋"/>
          <w:color w:val="333333"/>
          <w:kern w:val="0"/>
          <w:sz w:val="32"/>
          <w:szCs w:val="32"/>
          <w:shd w:val="clear" w:color="auto" w:fill="FFFFFF"/>
          <w:lang w:bidi="ar"/>
        </w:rPr>
        <w:t>玉泉区财政、民政、公安、住房城乡建设、事发地镇人民政府及相关部门进行</w:t>
      </w:r>
      <w:r>
        <w:rPr>
          <w:rFonts w:hint="eastAsia" w:ascii="仿宋" w:hAnsi="仿宋" w:eastAsia="仿宋" w:cs="仿宋"/>
          <w:color w:val="333333"/>
          <w:kern w:val="0"/>
          <w:sz w:val="32"/>
          <w:szCs w:val="32"/>
          <w:lang w:bidi="ar"/>
        </w:rPr>
        <w:t>危险化学品事故造成的损失进行评估；组织参与处置的部门对应急处置工作进行复盘分析，总结经验教训，制定改进措施；将调查与评估情况向玉泉区危险化学品生产安全事故应急指挥部报告。</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如危险化学品事故未造成人员伤亡属于一般事故的情形，玉泉区人民政府也可以委托事故发生单位组织事故调查组进行调查，对于较大及以上事故玉泉区人民政府应协助调查。</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481" w:name="_Toc24138"/>
      <w:bookmarkStart w:id="482" w:name="_Toc10961"/>
      <w:bookmarkStart w:id="483" w:name="_Toc23152"/>
      <w:bookmarkStart w:id="484" w:name="_Toc18021"/>
      <w:bookmarkStart w:id="485" w:name="_Toc5276"/>
      <w:bookmarkStart w:id="486" w:name="_Toc29836"/>
      <w:bookmarkStart w:id="487" w:name="_Toc11699"/>
      <w:bookmarkStart w:id="488" w:name="_Toc27106"/>
      <w:bookmarkStart w:id="489" w:name="_Toc12027"/>
      <w:bookmarkStart w:id="490" w:name="_Toc11982"/>
      <w:bookmarkStart w:id="491" w:name="_Toc25334"/>
      <w:bookmarkStart w:id="492" w:name="_Toc11077"/>
      <w:bookmarkStart w:id="493" w:name="_Toc27733"/>
      <w:bookmarkStart w:id="494" w:name="_Toc13902"/>
      <w:bookmarkStart w:id="495" w:name="_Toc30109"/>
      <w:r>
        <w:rPr>
          <w:rFonts w:hint="eastAsia" w:ascii="仿宋" w:hAnsi="仿宋" w:eastAsia="仿宋" w:cs="仿宋"/>
          <w:b/>
          <w:bCs/>
          <w:color w:val="333333"/>
          <w:sz w:val="32"/>
          <w:szCs w:val="32"/>
          <w:shd w:val="clear" w:color="auto" w:fill="FFFFFF"/>
        </w:rPr>
        <w:t>5.3 恢复重建</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健全灾后恢复重建机制，加大资金、政策、规划统筹，促进资源融合、效能提升。强化属地重建主体责任，建立务实高效的灾后恢复重建推进体系。尊重群众首创精神，引导开展自力更生、生产自救活动。</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危险化学品生产安全事故应急处置工作结束后，事发地镇、街道、事发单位要立即组织制定恢复重建计划，并向上一级人民政府报告。上一级人民政府要根据实际情况对需要支持的下一级人民政府提供资金、物资支持和技术指导，组织其他地区提供资金、物资和人力支援。</w:t>
      </w:r>
    </w:p>
    <w:p>
      <w:pPr>
        <w:pStyle w:val="3"/>
        <w:adjustRightInd w:val="0"/>
        <w:snapToGrid w:val="0"/>
        <w:ind w:firstLine="642" w:firstLineChars="200"/>
        <w:rPr>
          <w:rFonts w:hint="default" w:eastAsia="仿宋"/>
          <w:b/>
          <w:sz w:val="32"/>
        </w:rPr>
      </w:pPr>
      <w:bookmarkStart w:id="496" w:name="_Toc28143"/>
      <w:bookmarkStart w:id="497" w:name="_Toc27061"/>
      <w:bookmarkStart w:id="498" w:name="_Toc17177"/>
      <w:bookmarkStart w:id="499" w:name="_Toc12409"/>
      <w:bookmarkStart w:id="500" w:name="_Toc8951"/>
      <w:bookmarkStart w:id="501" w:name="_Toc15276"/>
      <w:bookmarkStart w:id="502" w:name="_Toc22209"/>
      <w:bookmarkStart w:id="503" w:name="_Toc7527"/>
      <w:bookmarkStart w:id="504" w:name="_Toc12832"/>
      <w:bookmarkStart w:id="505" w:name="_Toc31133"/>
      <w:bookmarkStart w:id="506" w:name="_Toc25954"/>
      <w:bookmarkStart w:id="507" w:name="_Toc15643"/>
      <w:bookmarkStart w:id="508" w:name="_Toc21498"/>
      <w:bookmarkStart w:id="509" w:name="_Toc7814"/>
      <w:bookmarkStart w:id="510" w:name="_Toc2138"/>
      <w:r>
        <w:rPr>
          <w:rFonts w:eastAsia="仿宋"/>
          <w:b/>
          <w:sz w:val="32"/>
        </w:rPr>
        <w:t>6</w:t>
      </w:r>
      <w:r>
        <w:rPr>
          <w:rFonts w:hint="eastAsia" w:eastAsia="仿宋"/>
          <w:b/>
          <w:sz w:val="32"/>
          <w:lang w:val="en-US" w:eastAsia="zh-CN"/>
        </w:rPr>
        <w:t xml:space="preserve"> </w:t>
      </w:r>
      <w:r>
        <w:rPr>
          <w:rFonts w:eastAsia="仿宋"/>
          <w:b/>
          <w:sz w:val="32"/>
        </w:rPr>
        <w:t>应急保障</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511" w:name="_Toc3007"/>
      <w:bookmarkStart w:id="512" w:name="_Toc11220"/>
      <w:bookmarkStart w:id="513" w:name="_Toc9858"/>
      <w:bookmarkStart w:id="514" w:name="_Toc14076"/>
      <w:bookmarkStart w:id="515" w:name="_Toc8356"/>
      <w:bookmarkStart w:id="516" w:name="_Toc18753"/>
      <w:bookmarkStart w:id="517" w:name="_Toc6741"/>
      <w:bookmarkStart w:id="518" w:name="_Toc6006"/>
      <w:bookmarkStart w:id="519" w:name="_Toc10252"/>
      <w:bookmarkStart w:id="520" w:name="_Toc18226"/>
      <w:bookmarkStart w:id="521" w:name="_Toc13569"/>
      <w:bookmarkStart w:id="522" w:name="_Toc19177"/>
      <w:bookmarkStart w:id="523" w:name="_Toc3486"/>
      <w:bookmarkStart w:id="524" w:name="_Toc5259"/>
      <w:bookmarkStart w:id="525" w:name="_Toc15502"/>
      <w:r>
        <w:rPr>
          <w:rFonts w:hint="eastAsia" w:ascii="仿宋" w:hAnsi="仿宋" w:eastAsia="仿宋" w:cs="仿宋"/>
          <w:b/>
          <w:bCs/>
          <w:color w:val="333333"/>
          <w:sz w:val="32"/>
          <w:szCs w:val="32"/>
          <w:shd w:val="clear" w:color="auto" w:fill="FFFFFF"/>
        </w:rPr>
        <w:t>6.1 应急救援队伍保障</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玉泉区辖区国家综合性消防救援队伍是应急救援的主力军，玉泉区人民政府应当提供必要支持保障。</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专业应急队伍是应急救援的重要协同力量。玉泉区应急管理、工业和信息化、公安、生态环境、住房城乡建设、交通运输、农牧水利、卫生健康等主管部门根据职能分工和实际需要，建设和管理本行业、本领域的专业应急队伍。</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基层组织应急队伍是第一时间开展先期处置的重要力量。</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社会应急队伍是应急救援的辅助力量。玉泉区有关部门要制定相关政策措施，支持加强应急志愿者队伍建设，鼓励企事业单位、社会组织及公民个人等有序参与应急救援工作。</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526" w:name="_Toc8955"/>
      <w:bookmarkStart w:id="527" w:name="_Toc2153"/>
      <w:bookmarkStart w:id="528" w:name="_Toc23583"/>
      <w:bookmarkStart w:id="529" w:name="_Toc11847"/>
      <w:bookmarkStart w:id="530" w:name="_Toc26859"/>
      <w:bookmarkStart w:id="531" w:name="_Toc15148"/>
      <w:bookmarkStart w:id="532" w:name="_Toc3447"/>
      <w:bookmarkStart w:id="533" w:name="_Toc8862"/>
      <w:bookmarkStart w:id="534" w:name="_Toc15416"/>
      <w:bookmarkStart w:id="535" w:name="_Toc14060"/>
      <w:bookmarkStart w:id="536" w:name="_Toc20611"/>
      <w:bookmarkStart w:id="537" w:name="_Toc25021"/>
      <w:bookmarkStart w:id="538" w:name="_Toc29892"/>
      <w:bookmarkStart w:id="539" w:name="_Toc11047"/>
      <w:bookmarkStart w:id="540" w:name="_Toc18499"/>
      <w:r>
        <w:rPr>
          <w:rFonts w:hint="eastAsia" w:ascii="仿宋" w:hAnsi="仿宋" w:eastAsia="仿宋" w:cs="仿宋"/>
          <w:b/>
          <w:bCs/>
          <w:color w:val="333333"/>
          <w:sz w:val="32"/>
          <w:szCs w:val="32"/>
          <w:shd w:val="clear" w:color="auto" w:fill="FFFFFF"/>
        </w:rPr>
        <w:t>6.2 应急经费保障</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玉泉区财政局牵头，</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区应急管理局、市公安局玉泉分局、</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区卫生健康委员会、</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区审计局等相关部门配合，建立应急资金保障制度，管理应急资金的计划、使用、审计工作。</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区应急管理局、市公安局玉泉区分局、</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区卫生健康委员会负责组织玉泉区范围应急资金预算计划编制，由</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区财政局执行预算审核。</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区财政局负责管理预算资金的使用，并会同区审计局对财政应急资金使用情况进行监管和评估。</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鼓励公民、法人和其他组织为应对危险化学品生产安全事故提供资金援助，</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区财政局对接援助资金的使用和监管。</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发挥保险保障功能，健全风险管理体系，鼓励单位和公民投保商业保险。加快推进巨灾保险制度，推行安全生产、环境污染保险等。玉泉区人民政府和有关单位安排应急救援人员参与可能发生人身危险的抢险救援行动前，应当为其投保相关保险产品。</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541" w:name="_Toc25484"/>
      <w:bookmarkStart w:id="542" w:name="_Toc31022"/>
      <w:bookmarkStart w:id="543" w:name="_Toc2629"/>
      <w:bookmarkStart w:id="544" w:name="_Toc5873"/>
      <w:bookmarkStart w:id="545" w:name="_Toc7590"/>
      <w:bookmarkStart w:id="546" w:name="_Toc25014"/>
      <w:bookmarkStart w:id="547" w:name="_Toc27631"/>
      <w:bookmarkStart w:id="548" w:name="_Toc6458"/>
      <w:bookmarkStart w:id="549" w:name="_Toc15963"/>
      <w:bookmarkStart w:id="550" w:name="_Toc11721"/>
      <w:bookmarkStart w:id="551" w:name="_Toc9215"/>
      <w:bookmarkStart w:id="552" w:name="_Toc9447"/>
      <w:bookmarkStart w:id="553" w:name="_Toc2415"/>
      <w:bookmarkStart w:id="554" w:name="_Toc29372"/>
      <w:bookmarkStart w:id="555" w:name="_Toc6116"/>
      <w:r>
        <w:rPr>
          <w:rFonts w:hint="eastAsia" w:ascii="仿宋" w:hAnsi="仿宋" w:eastAsia="仿宋" w:cs="仿宋"/>
          <w:b/>
          <w:bCs/>
          <w:color w:val="333333"/>
          <w:sz w:val="32"/>
          <w:szCs w:val="32"/>
          <w:shd w:val="clear" w:color="auto" w:fill="FFFFFF"/>
        </w:rPr>
        <w:t>6.3  应急物资保障</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由</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区发展和改革委员会牵头，</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区应急管理局、市公安局玉泉区分局、</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区卫生健康委员会等相关部门配合，建立应急物资储备保障制度，制定应急物资储备和生产规划。</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区发展和改革委员会负责统筹应急物资的采购、储备、补充、更新，确保应急救</w:t>
      </w:r>
      <w:r>
        <w:rPr>
          <w:rFonts w:hint="eastAsia" w:ascii="仿宋" w:hAnsi="仿宋" w:eastAsia="仿宋" w:cs="仿宋"/>
          <w:color w:val="333333"/>
          <w:kern w:val="0"/>
          <w:sz w:val="32"/>
          <w:szCs w:val="32"/>
          <w:lang w:val="en-US" w:eastAsia="zh-CN" w:bidi="ar"/>
        </w:rPr>
        <w:t>灾</w:t>
      </w:r>
      <w:r>
        <w:rPr>
          <w:rFonts w:hint="eastAsia" w:ascii="仿宋" w:hAnsi="仿宋" w:eastAsia="仿宋" w:cs="仿宋"/>
          <w:color w:val="333333"/>
          <w:kern w:val="0"/>
          <w:sz w:val="32"/>
          <w:szCs w:val="32"/>
          <w:lang w:bidi="ar"/>
        </w:rPr>
        <w:t>物资及时供应。鼓励和引导社区、单位、家庭储备应急物资。</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区应急管理局负责维护全区范围的应急物资储备信息库，支撑应急指挥过程中应急物资优化调度。</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重点企业及社会组织根据自身需要，储备一定数量的设备及物资，定期维护保养，确保正常使用，并定期将应急设备及物资名录上报至区应急管理局备案。在发生突发危险化学品事故时，重点风险企业应急物资统一由区应急管理局调配使用，从而促进区域内各风险企业与区应急管理局建立联防联控、共享机制。</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556" w:name="_Toc11924"/>
      <w:bookmarkStart w:id="557" w:name="_Toc17734"/>
      <w:bookmarkStart w:id="558" w:name="_Toc11007"/>
      <w:bookmarkStart w:id="559" w:name="_Toc14858"/>
      <w:bookmarkStart w:id="560" w:name="_Toc2103"/>
      <w:bookmarkStart w:id="561" w:name="_Toc23459"/>
      <w:bookmarkStart w:id="562" w:name="_Toc22459"/>
      <w:bookmarkStart w:id="563" w:name="_Toc8151"/>
      <w:bookmarkStart w:id="564" w:name="_Toc28643"/>
      <w:bookmarkStart w:id="565" w:name="_Toc32287"/>
      <w:bookmarkStart w:id="566" w:name="_Toc20065"/>
      <w:bookmarkStart w:id="567" w:name="_Toc21741"/>
      <w:bookmarkStart w:id="568" w:name="_Toc15016"/>
      <w:bookmarkStart w:id="569" w:name="_Toc18485"/>
      <w:bookmarkStart w:id="570" w:name="_Toc30675"/>
      <w:r>
        <w:rPr>
          <w:rFonts w:hint="eastAsia" w:ascii="仿宋" w:hAnsi="仿宋" w:eastAsia="仿宋" w:cs="仿宋"/>
          <w:b/>
          <w:bCs/>
          <w:color w:val="333333"/>
          <w:sz w:val="32"/>
          <w:szCs w:val="32"/>
          <w:shd w:val="clear" w:color="auto" w:fill="FFFFFF"/>
        </w:rPr>
        <w:t>6.4 交通运输保障</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由市公安局交警支队玉泉区大队、市公安局玉泉区分局牵头，建立健全交通运输保障联动机制。危险化学品生产安全事故发生后，区城市管理综合执法局等相关部门组织专业应急队伍，负责交通疏导和人员疏散，根据需要开设应急救援“绿色通道”，保证应急救援工作顺利开展。</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571" w:name="_Toc8171"/>
      <w:bookmarkStart w:id="572" w:name="_Toc27953"/>
      <w:bookmarkStart w:id="573" w:name="_Toc32525"/>
      <w:bookmarkStart w:id="574" w:name="_Toc10518"/>
      <w:bookmarkStart w:id="575" w:name="_Toc8687"/>
      <w:bookmarkStart w:id="576" w:name="_Toc20321"/>
      <w:bookmarkStart w:id="577" w:name="_Toc10535"/>
      <w:bookmarkStart w:id="578" w:name="_Toc18208"/>
      <w:bookmarkStart w:id="579" w:name="_Toc25733"/>
      <w:bookmarkStart w:id="580" w:name="_Toc15988"/>
      <w:bookmarkStart w:id="581" w:name="_Toc7272"/>
      <w:bookmarkStart w:id="582" w:name="_Toc18411"/>
      <w:bookmarkStart w:id="583" w:name="_Toc12797"/>
      <w:bookmarkStart w:id="584" w:name="_Toc17468"/>
      <w:bookmarkStart w:id="585" w:name="_Toc13331"/>
      <w:r>
        <w:rPr>
          <w:rFonts w:hint="eastAsia" w:ascii="仿宋" w:hAnsi="仿宋" w:eastAsia="仿宋" w:cs="仿宋"/>
          <w:b/>
          <w:bCs/>
          <w:color w:val="333333"/>
          <w:sz w:val="32"/>
          <w:szCs w:val="32"/>
          <w:shd w:val="clear" w:color="auto" w:fill="FFFFFF"/>
        </w:rPr>
        <w:t>6.5 应急专家保障</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生产安全事故应急指挥部成员单位根据职责分工，建立危险化学品应急专家、危险化学品资料、应急物资、典型案例等信息库，实现信息共享，为突发危险化学品生产安全事故预防和应急处置工作提供有力的技术支撑。</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586" w:name="_Toc3638"/>
      <w:bookmarkStart w:id="587" w:name="_Toc4713"/>
      <w:bookmarkStart w:id="588" w:name="_Toc27374"/>
      <w:bookmarkStart w:id="589" w:name="_Toc21492"/>
      <w:bookmarkStart w:id="590" w:name="_Toc7849"/>
      <w:bookmarkStart w:id="591" w:name="_Toc23157"/>
      <w:bookmarkStart w:id="592" w:name="_Toc12195"/>
      <w:bookmarkStart w:id="593" w:name="_Toc28727"/>
      <w:bookmarkStart w:id="594" w:name="_Toc625"/>
      <w:bookmarkStart w:id="595" w:name="_Toc1304"/>
      <w:bookmarkStart w:id="596" w:name="_Toc30400"/>
      <w:bookmarkStart w:id="597" w:name="_Toc15792"/>
      <w:bookmarkStart w:id="598" w:name="_Toc26311"/>
      <w:bookmarkStart w:id="599" w:name="_Toc8911"/>
      <w:bookmarkStart w:id="600" w:name="_Toc13438"/>
      <w:r>
        <w:rPr>
          <w:rFonts w:hint="eastAsia" w:ascii="仿宋" w:hAnsi="仿宋" w:eastAsia="仿宋" w:cs="仿宋"/>
          <w:b/>
          <w:bCs/>
          <w:color w:val="333333"/>
          <w:sz w:val="32"/>
          <w:szCs w:val="32"/>
          <w:shd w:val="clear" w:color="auto" w:fill="FFFFFF"/>
        </w:rPr>
        <w:t>6.6 通信与信息保障</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由</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区发展和改革委员会、</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区工业和信息化局牵头，建立应急通信保障机制，切实保障满足危险化学品生产安全事故应急救援过程中的紧急通信要求。</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区应急管理局牵头建立应急信息资源库，实现应急组织体系、知识库、预案、风险和隐患、应急救援队伍、应急物资、应急避难场所等信息资源的集中收集、维护、更新。</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601" w:name="br1_69"/>
      <w:bookmarkEnd w:id="601"/>
      <w:bookmarkStart w:id="602" w:name="_Toc10542"/>
      <w:bookmarkStart w:id="603" w:name="_Toc20849"/>
      <w:bookmarkStart w:id="604" w:name="_Toc4432"/>
      <w:bookmarkStart w:id="605" w:name="_Toc18922"/>
      <w:bookmarkStart w:id="606" w:name="_Toc18369"/>
      <w:bookmarkStart w:id="607" w:name="_Toc3485"/>
      <w:bookmarkStart w:id="608" w:name="_Toc7469"/>
      <w:bookmarkStart w:id="609" w:name="_Toc23015"/>
      <w:bookmarkStart w:id="610" w:name="_Toc9172"/>
      <w:bookmarkStart w:id="611" w:name="_Toc18986"/>
      <w:bookmarkStart w:id="612" w:name="_Toc26872"/>
      <w:bookmarkStart w:id="613" w:name="_Toc23054"/>
      <w:bookmarkStart w:id="614" w:name="_Toc14800"/>
      <w:bookmarkStart w:id="615" w:name="_Toc5780"/>
      <w:bookmarkStart w:id="616" w:name="_Toc26758"/>
      <w:r>
        <w:rPr>
          <w:rFonts w:hint="eastAsia" w:ascii="仿宋" w:hAnsi="仿宋" w:eastAsia="仿宋" w:cs="仿宋"/>
          <w:b/>
          <w:bCs/>
          <w:color w:val="333333"/>
          <w:sz w:val="32"/>
          <w:szCs w:val="32"/>
          <w:shd w:val="clear" w:color="auto" w:fill="FFFFFF"/>
        </w:rPr>
        <w:t>6.7 医疗卫生保障</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由</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区卫生健康委员会牵头，建立健全医疗卫生应急救援保障体系，组织医疗卫生专业应急救援队伍开展医疗卫生应急人员技能培训。</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危险化学品生产安全事故发生后，迅速组织医疗卫生专业应急救援队伍、动员当地基层和志愿者医疗卫生救援队伍执行伤员救治和防疫措施。区农牧水利局、生态环境局赛罕分局、区市场监督管理等部门做好饮水、食品药品、医疗器械安全保障工作。</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617" w:name="_Toc17938"/>
      <w:bookmarkStart w:id="618" w:name="_Toc22146"/>
      <w:bookmarkStart w:id="619" w:name="_Toc2183"/>
      <w:bookmarkStart w:id="620" w:name="_Toc20278"/>
      <w:bookmarkStart w:id="621" w:name="_Toc28263"/>
      <w:bookmarkStart w:id="622" w:name="_Toc29287"/>
      <w:bookmarkStart w:id="623" w:name="_Toc20760"/>
      <w:bookmarkStart w:id="624" w:name="_Toc29167"/>
      <w:bookmarkStart w:id="625" w:name="_Toc32548"/>
      <w:bookmarkStart w:id="626" w:name="_Toc6933"/>
      <w:bookmarkStart w:id="627" w:name="_Toc32661"/>
      <w:bookmarkStart w:id="628" w:name="_Toc3930"/>
      <w:bookmarkStart w:id="629" w:name="_Toc12514"/>
      <w:bookmarkStart w:id="630" w:name="_Toc13779"/>
      <w:bookmarkStart w:id="631" w:name="_Toc28968"/>
      <w:r>
        <w:rPr>
          <w:rFonts w:hint="eastAsia" w:ascii="仿宋" w:hAnsi="仿宋" w:eastAsia="仿宋" w:cs="仿宋"/>
          <w:b/>
          <w:bCs/>
          <w:color w:val="333333"/>
          <w:sz w:val="32"/>
          <w:szCs w:val="32"/>
          <w:shd w:val="clear" w:color="auto" w:fill="FFFFFF"/>
        </w:rPr>
        <w:t>6.8 科技保障</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由</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区科技局牵头，</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应急管理局配合，定期制定应急科技发展计划，引导玉泉区应急科技发展。鼓励、扶持具备相应条件的教学科研机构培养应急管理人才，加强应急管理学科建设。加强全区应急管理科技支撑机构建设，积累基础资料，促进科技成果交流共享，研究制定促进公共安全和应急产业发展的政策措施，鼓励、扶持教学科研机构和有关企业研究开发用于突发事件预防、监测、预警、应急处置与救援的新技术、新设备和新工具，提高监测预警、辅助指挥决策、救援实战和社会动员能力。</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632" w:name="_Toc32443"/>
      <w:bookmarkStart w:id="633" w:name="_Toc17406"/>
      <w:bookmarkStart w:id="634" w:name="_Toc26411"/>
      <w:bookmarkStart w:id="635" w:name="_Toc31048"/>
      <w:bookmarkStart w:id="636" w:name="_Toc17438"/>
      <w:bookmarkStart w:id="637" w:name="_Toc23775"/>
      <w:bookmarkStart w:id="638" w:name="_Toc31542"/>
      <w:bookmarkStart w:id="639" w:name="_Toc6165"/>
      <w:bookmarkStart w:id="640" w:name="_Toc20152"/>
      <w:bookmarkStart w:id="641" w:name="_Toc31724"/>
      <w:bookmarkStart w:id="642" w:name="_Toc25492"/>
      <w:bookmarkStart w:id="643" w:name="_Toc24329"/>
      <w:bookmarkStart w:id="644" w:name="_Toc6413"/>
      <w:bookmarkStart w:id="645" w:name="_Toc17984"/>
      <w:bookmarkStart w:id="646" w:name="_Toc31233"/>
      <w:r>
        <w:rPr>
          <w:rFonts w:hint="eastAsia" w:ascii="仿宋" w:hAnsi="仿宋" w:eastAsia="仿宋" w:cs="仿宋"/>
          <w:b/>
          <w:bCs/>
          <w:color w:val="333333"/>
          <w:sz w:val="32"/>
          <w:szCs w:val="32"/>
          <w:shd w:val="clear" w:color="auto" w:fill="FFFFFF"/>
        </w:rPr>
        <w:t>6.9  应急避难场所保障</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区应急管理局牵头，区发展和改革委员会、区住房和城乡建设局等相关部门统筹管理应急避难场所总体规划，建立应急避难场所运行保障机制。</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人民政府负责管理应急避难场所的日常运行维护，包括：组织设立应急避难场所，负责统一指挥、管理民众疏散安置工作；制订应急疏散预案和管理制度；指导场所的功能区域布局和疏散路线规划，设置指示标志，保障应急状态下疏散路线的畅通；保障场所运行所需的基本生活条件、医疗救护和卫生防疫服务、通信服务、治安管理、环境卫生管理；保障应急避难场所需要的基本生活、基本医疗、疏散安置等各类物资的储备。</w:t>
      </w:r>
    </w:p>
    <w:p>
      <w:pPr>
        <w:pStyle w:val="3"/>
        <w:adjustRightInd w:val="0"/>
        <w:snapToGrid w:val="0"/>
        <w:ind w:firstLine="642" w:firstLineChars="200"/>
        <w:rPr>
          <w:rFonts w:hint="default" w:eastAsia="仿宋"/>
          <w:b/>
          <w:sz w:val="32"/>
        </w:rPr>
      </w:pPr>
      <w:bookmarkStart w:id="647" w:name="_Toc28142"/>
      <w:bookmarkStart w:id="648" w:name="_Toc26109"/>
      <w:bookmarkStart w:id="649" w:name="_Toc355"/>
      <w:bookmarkStart w:id="650" w:name="_Toc12301"/>
      <w:bookmarkStart w:id="651" w:name="_Toc18285"/>
      <w:bookmarkStart w:id="652" w:name="_Toc21620"/>
      <w:bookmarkStart w:id="653" w:name="_Toc2176"/>
      <w:bookmarkStart w:id="654" w:name="_Toc32154"/>
      <w:bookmarkStart w:id="655" w:name="_Toc23819"/>
      <w:bookmarkStart w:id="656" w:name="_Toc9886"/>
      <w:bookmarkStart w:id="657" w:name="_Toc7894"/>
      <w:bookmarkStart w:id="658" w:name="_Toc18244"/>
      <w:bookmarkStart w:id="659" w:name="_Toc18553"/>
      <w:bookmarkStart w:id="660" w:name="_Toc9144"/>
      <w:bookmarkStart w:id="661" w:name="_Toc12678"/>
      <w:r>
        <w:rPr>
          <w:rFonts w:eastAsia="仿宋"/>
          <w:b/>
          <w:sz w:val="32"/>
        </w:rPr>
        <w:t>7　预案管理</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pStyle w:val="15"/>
        <w:widowControl/>
        <w:autoSpaceDE w:val="0"/>
        <w:autoSpaceDN w:val="0"/>
        <w:spacing w:after="120" w:line="384" w:lineRule="atLeast"/>
        <w:ind w:firstLine="640"/>
        <w:outlineLvl w:val="1"/>
        <w:rPr>
          <w:rFonts w:ascii="仿宋" w:hAnsi="仿宋" w:eastAsia="仿宋" w:cs="仿宋"/>
          <w:b/>
          <w:bCs/>
          <w:color w:val="333333"/>
          <w:sz w:val="32"/>
          <w:szCs w:val="32"/>
          <w:shd w:val="clear" w:color="auto" w:fill="FFFFFF"/>
          <w:lang w:bidi="ar"/>
        </w:rPr>
      </w:pPr>
      <w:bookmarkStart w:id="662" w:name="_Toc5416"/>
      <w:bookmarkStart w:id="663" w:name="_Toc14786"/>
      <w:bookmarkStart w:id="664" w:name="_Toc19880"/>
      <w:bookmarkStart w:id="665" w:name="_Toc10473"/>
      <w:bookmarkStart w:id="666" w:name="_Toc21497"/>
      <w:bookmarkStart w:id="667" w:name="_Toc18453"/>
      <w:bookmarkStart w:id="668" w:name="_Toc21505"/>
      <w:bookmarkStart w:id="669" w:name="_Toc21475"/>
      <w:bookmarkStart w:id="670" w:name="_Toc31422"/>
      <w:bookmarkStart w:id="671" w:name="_Toc5056"/>
      <w:bookmarkStart w:id="672" w:name="_Toc25720"/>
      <w:r>
        <w:rPr>
          <w:rFonts w:hint="eastAsia" w:ascii="仿宋" w:hAnsi="仿宋" w:eastAsia="仿宋" w:cs="仿宋"/>
          <w:b/>
          <w:bCs/>
          <w:color w:val="333333"/>
          <w:sz w:val="32"/>
          <w:szCs w:val="32"/>
          <w:shd w:val="clear" w:color="auto" w:fill="FFFFFF"/>
          <w:lang w:bidi="ar"/>
        </w:rPr>
        <w:t>7.1 预案编制</w:t>
      </w:r>
      <w:bookmarkEnd w:id="662"/>
      <w:bookmarkEnd w:id="663"/>
      <w:bookmarkEnd w:id="664"/>
      <w:bookmarkEnd w:id="665"/>
      <w:bookmarkEnd w:id="666"/>
      <w:bookmarkEnd w:id="667"/>
      <w:bookmarkEnd w:id="668"/>
      <w:bookmarkEnd w:id="669"/>
      <w:bookmarkEnd w:id="670"/>
      <w:bookmarkEnd w:id="671"/>
      <w:r>
        <w:rPr>
          <w:rFonts w:hint="eastAsia" w:ascii="仿宋" w:hAnsi="仿宋" w:eastAsia="仿宋" w:cs="仿宋"/>
          <w:b/>
          <w:bCs/>
          <w:color w:val="333333"/>
          <w:sz w:val="32"/>
          <w:szCs w:val="32"/>
          <w:shd w:val="clear" w:color="auto" w:fill="FFFFFF"/>
          <w:lang w:bidi="ar"/>
        </w:rPr>
        <w:t xml:space="preserve"> </w:t>
      </w:r>
    </w:p>
    <w:p>
      <w:pPr>
        <w:autoSpaceDE w:val="0"/>
        <w:autoSpaceDN w:val="0"/>
        <w:spacing w:line="360" w:lineRule="auto"/>
        <w:ind w:firstLine="56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 xml:space="preserve">本预案为呼和浩特市危险化学品事故专项应急救援工作的基本程序和组织原则。 </w:t>
      </w:r>
    </w:p>
    <w:p>
      <w:pPr>
        <w:autoSpaceDE w:val="0"/>
        <w:autoSpaceDN w:val="0"/>
        <w:spacing w:line="360" w:lineRule="auto"/>
        <w:ind w:firstLine="56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本预案由</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 xml:space="preserve">应急管理局负责组织编制。 </w:t>
      </w:r>
    </w:p>
    <w:p>
      <w:pPr>
        <w:pStyle w:val="15"/>
        <w:widowControl/>
        <w:autoSpaceDE w:val="0"/>
        <w:autoSpaceDN w:val="0"/>
        <w:spacing w:after="120" w:line="384" w:lineRule="atLeast"/>
        <w:ind w:firstLine="640"/>
        <w:outlineLvl w:val="1"/>
        <w:rPr>
          <w:rFonts w:ascii="仿宋" w:hAnsi="仿宋" w:eastAsia="仿宋" w:cs="仿宋"/>
          <w:b/>
          <w:bCs/>
          <w:color w:val="333333"/>
          <w:sz w:val="32"/>
          <w:szCs w:val="32"/>
          <w:shd w:val="clear" w:color="auto" w:fill="FFFFFF"/>
          <w:lang w:bidi="ar"/>
        </w:rPr>
      </w:pPr>
      <w:bookmarkStart w:id="673" w:name="_Toc1807"/>
      <w:bookmarkStart w:id="674" w:name="_Toc6191"/>
      <w:bookmarkStart w:id="675" w:name="_Toc20517"/>
      <w:bookmarkStart w:id="676" w:name="_Toc30741"/>
      <w:bookmarkStart w:id="677" w:name="_Toc7135"/>
      <w:bookmarkStart w:id="678" w:name="_Toc19721"/>
      <w:bookmarkStart w:id="679" w:name="_Toc18253"/>
      <w:bookmarkStart w:id="680" w:name="_Toc5008"/>
      <w:bookmarkStart w:id="681" w:name="_Toc3591"/>
      <w:bookmarkStart w:id="682" w:name="_Toc4562"/>
      <w:r>
        <w:rPr>
          <w:rFonts w:hint="eastAsia" w:ascii="仿宋" w:hAnsi="仿宋" w:eastAsia="仿宋" w:cs="仿宋"/>
          <w:b/>
          <w:bCs/>
          <w:color w:val="333333"/>
          <w:sz w:val="32"/>
          <w:szCs w:val="32"/>
          <w:shd w:val="clear" w:color="auto" w:fill="FFFFFF"/>
          <w:lang w:bidi="ar"/>
        </w:rPr>
        <w:t>7.2.预案审查与批准</w:t>
      </w:r>
      <w:bookmarkEnd w:id="673"/>
      <w:bookmarkEnd w:id="674"/>
      <w:bookmarkEnd w:id="675"/>
      <w:bookmarkEnd w:id="676"/>
      <w:bookmarkEnd w:id="677"/>
      <w:bookmarkEnd w:id="678"/>
      <w:bookmarkEnd w:id="679"/>
      <w:bookmarkEnd w:id="680"/>
      <w:bookmarkEnd w:id="681"/>
      <w:bookmarkEnd w:id="682"/>
      <w:r>
        <w:rPr>
          <w:rFonts w:hint="eastAsia" w:ascii="仿宋" w:hAnsi="仿宋" w:eastAsia="仿宋" w:cs="仿宋"/>
          <w:b/>
          <w:bCs/>
          <w:color w:val="333333"/>
          <w:sz w:val="32"/>
          <w:szCs w:val="32"/>
          <w:shd w:val="clear" w:color="auto" w:fill="FFFFFF"/>
          <w:lang w:bidi="ar"/>
        </w:rPr>
        <w:t xml:space="preserve"> </w:t>
      </w:r>
    </w:p>
    <w:p>
      <w:pPr>
        <w:autoSpaceDE w:val="0"/>
        <w:autoSpaceDN w:val="0"/>
        <w:spacing w:line="360" w:lineRule="auto"/>
        <w:ind w:firstLine="56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本预案经征求相关部门意见和组织专家评审后，以</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 xml:space="preserve">人民政府名义印发实施。 </w:t>
      </w:r>
    </w:p>
    <w:p>
      <w:pPr>
        <w:pStyle w:val="15"/>
        <w:widowControl/>
        <w:autoSpaceDE w:val="0"/>
        <w:autoSpaceDN w:val="0"/>
        <w:spacing w:after="120" w:line="384" w:lineRule="atLeast"/>
        <w:ind w:firstLine="640"/>
        <w:outlineLvl w:val="1"/>
        <w:rPr>
          <w:rFonts w:ascii="仿宋" w:hAnsi="仿宋" w:eastAsia="仿宋" w:cs="仿宋"/>
          <w:b/>
          <w:bCs/>
          <w:color w:val="333333"/>
          <w:sz w:val="32"/>
          <w:szCs w:val="32"/>
          <w:shd w:val="clear" w:color="auto" w:fill="FFFFFF"/>
          <w:lang w:bidi="ar"/>
        </w:rPr>
      </w:pPr>
      <w:bookmarkStart w:id="683" w:name="_Toc3702"/>
      <w:bookmarkStart w:id="684" w:name="_Toc31275"/>
      <w:bookmarkStart w:id="685" w:name="_Toc7067"/>
      <w:bookmarkStart w:id="686" w:name="_Toc16462"/>
      <w:bookmarkStart w:id="687" w:name="_Toc14394"/>
      <w:bookmarkStart w:id="688" w:name="_Toc16421"/>
      <w:bookmarkStart w:id="689" w:name="_Toc1246"/>
      <w:bookmarkStart w:id="690" w:name="_Toc29194"/>
      <w:bookmarkStart w:id="691" w:name="_Toc19761"/>
      <w:bookmarkStart w:id="692" w:name="_Toc28473"/>
      <w:r>
        <w:rPr>
          <w:rFonts w:hint="eastAsia" w:ascii="仿宋" w:hAnsi="仿宋" w:eastAsia="仿宋" w:cs="仿宋"/>
          <w:b/>
          <w:bCs/>
          <w:color w:val="333333"/>
          <w:sz w:val="32"/>
          <w:szCs w:val="32"/>
          <w:shd w:val="clear" w:color="auto" w:fill="FFFFFF"/>
          <w:lang w:bidi="ar"/>
        </w:rPr>
        <w:t>7.3 预案修订与备案</w:t>
      </w:r>
      <w:bookmarkEnd w:id="683"/>
      <w:bookmarkEnd w:id="684"/>
      <w:bookmarkEnd w:id="685"/>
      <w:bookmarkEnd w:id="686"/>
      <w:bookmarkEnd w:id="687"/>
      <w:bookmarkEnd w:id="688"/>
      <w:bookmarkEnd w:id="689"/>
      <w:bookmarkEnd w:id="690"/>
      <w:bookmarkEnd w:id="691"/>
      <w:bookmarkEnd w:id="692"/>
      <w:r>
        <w:rPr>
          <w:rFonts w:hint="eastAsia" w:ascii="仿宋" w:hAnsi="仿宋" w:eastAsia="仿宋" w:cs="仿宋"/>
          <w:b/>
          <w:bCs/>
          <w:color w:val="333333"/>
          <w:sz w:val="32"/>
          <w:szCs w:val="32"/>
          <w:shd w:val="clear" w:color="auto" w:fill="FFFFFF"/>
          <w:lang w:bidi="ar"/>
        </w:rPr>
        <w:t xml:space="preserve"> </w:t>
      </w:r>
    </w:p>
    <w:p>
      <w:pPr>
        <w:widowControl/>
        <w:autoSpaceDE w:val="0"/>
        <w:autoSpaceDN w:val="0"/>
        <w:spacing w:after="120" w:line="360" w:lineRule="auto"/>
        <w:ind w:firstLine="560"/>
        <w:outlineLvl w:val="1"/>
        <w:rPr>
          <w:rFonts w:ascii="仿宋" w:hAnsi="仿宋" w:eastAsia="仿宋" w:cs="仿宋"/>
          <w:b/>
          <w:bCs/>
          <w:color w:val="333333"/>
          <w:sz w:val="32"/>
          <w:szCs w:val="32"/>
          <w:shd w:val="clear" w:color="auto" w:fill="FFFFFF"/>
        </w:rPr>
      </w:pPr>
      <w:bookmarkStart w:id="693" w:name="_Toc25976"/>
      <w:r>
        <w:rPr>
          <w:rFonts w:ascii="仿宋" w:hAnsi="仿宋" w:eastAsia="仿宋" w:cs="仿宋"/>
          <w:color w:val="333333"/>
          <w:kern w:val="0"/>
          <w:sz w:val="32"/>
          <w:szCs w:val="32"/>
          <w:lang w:bidi="ar"/>
        </w:rPr>
        <w:t>当发生制定预案所依据的法律、法规、规章、标准发生重大 变化；应急指挥机构及其职责发生调整；生产安全面临的风险发生重大变化；重要应急资源发生重大变化；在预案演练或者应急救援中发现需要修订预案的重大问题；其他应当修订的情形，</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应急管理局应及时修订完善本预案</w:t>
      </w:r>
      <w:r>
        <w:rPr>
          <w:rFonts w:hint="eastAsia" w:ascii="仿宋" w:hAnsi="仿宋" w:eastAsia="仿宋" w:cs="仿宋"/>
          <w:color w:val="333333"/>
          <w:kern w:val="0"/>
          <w:sz w:val="32"/>
          <w:szCs w:val="32"/>
          <w:lang w:bidi="ar"/>
        </w:rPr>
        <w:t>。</w:t>
      </w:r>
      <w:bookmarkEnd w:id="693"/>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694" w:name="_Toc17588"/>
      <w:bookmarkStart w:id="695" w:name="_Toc11871"/>
      <w:bookmarkStart w:id="696" w:name="_Toc27101"/>
      <w:bookmarkStart w:id="697" w:name="_Toc11098"/>
      <w:bookmarkStart w:id="698" w:name="_Toc10075"/>
      <w:bookmarkStart w:id="699" w:name="_Toc9962"/>
      <w:bookmarkStart w:id="700" w:name="_Toc250"/>
      <w:bookmarkStart w:id="701" w:name="_Toc1220"/>
      <w:bookmarkStart w:id="702" w:name="_Toc7210"/>
      <w:bookmarkStart w:id="703" w:name="_Toc17589"/>
      <w:r>
        <w:rPr>
          <w:rFonts w:hint="eastAsia" w:ascii="仿宋" w:hAnsi="仿宋" w:eastAsia="仿宋" w:cs="仿宋"/>
          <w:b/>
          <w:bCs/>
          <w:color w:val="333333"/>
          <w:sz w:val="32"/>
          <w:szCs w:val="32"/>
          <w:shd w:val="clear" w:color="auto" w:fill="FFFFFF"/>
        </w:rPr>
        <w:t>7.4 宣传</w:t>
      </w:r>
      <w:r>
        <w:rPr>
          <w:rFonts w:ascii="仿宋" w:hAnsi="仿宋" w:eastAsia="仿宋" w:cs="仿宋"/>
          <w:b/>
          <w:bCs/>
          <w:color w:val="333333"/>
          <w:sz w:val="32"/>
          <w:szCs w:val="32"/>
          <w:shd w:val="clear" w:color="auto" w:fill="FFFFFF"/>
        </w:rPr>
        <w:t>、教育</w:t>
      </w:r>
      <w:bookmarkEnd w:id="672"/>
      <w:bookmarkEnd w:id="694"/>
      <w:bookmarkEnd w:id="695"/>
      <w:bookmarkEnd w:id="696"/>
      <w:bookmarkEnd w:id="697"/>
      <w:bookmarkEnd w:id="698"/>
      <w:bookmarkEnd w:id="699"/>
      <w:bookmarkEnd w:id="700"/>
      <w:bookmarkEnd w:id="701"/>
      <w:bookmarkEnd w:id="702"/>
      <w:bookmarkEnd w:id="703"/>
      <w:r>
        <w:rPr>
          <w:rFonts w:ascii="仿宋" w:hAnsi="仿宋" w:eastAsia="仿宋" w:cs="仿宋"/>
          <w:b/>
          <w:bCs/>
          <w:color w:val="333333"/>
          <w:sz w:val="32"/>
          <w:szCs w:val="32"/>
          <w:shd w:val="clear" w:color="auto" w:fill="FFFFFF"/>
        </w:rPr>
        <w:t xml:space="preserve">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玉泉区生产安全事故应急指挥办公室及</w:t>
      </w:r>
      <w:r>
        <w:rPr>
          <w:rFonts w:ascii="仿宋" w:hAnsi="仿宋" w:eastAsia="仿宋" w:cs="仿宋"/>
          <w:color w:val="333333"/>
          <w:kern w:val="0"/>
          <w:sz w:val="32"/>
          <w:szCs w:val="32"/>
          <w:lang w:bidi="ar"/>
        </w:rPr>
        <w:t>相关部门</w:t>
      </w:r>
      <w:r>
        <w:rPr>
          <w:rFonts w:hint="eastAsia" w:ascii="仿宋" w:hAnsi="仿宋" w:eastAsia="仿宋" w:cs="仿宋"/>
          <w:color w:val="333333"/>
          <w:kern w:val="0"/>
          <w:sz w:val="32"/>
          <w:szCs w:val="32"/>
          <w:lang w:bidi="ar"/>
        </w:rPr>
        <w:t>、</w:t>
      </w:r>
      <w:r>
        <w:rPr>
          <w:rFonts w:ascii="仿宋" w:hAnsi="仿宋" w:eastAsia="仿宋" w:cs="仿宋"/>
          <w:color w:val="333333"/>
          <w:kern w:val="0"/>
          <w:sz w:val="32"/>
          <w:szCs w:val="32"/>
          <w:lang w:bidi="ar"/>
        </w:rPr>
        <w:t xml:space="preserve">有关单位应当开展应急法律法规、应急预案和应急知识宣传教育活动，增强全民安全与应急意识以及预防、避险、自救、互救等能力。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充分利用广播、电视、报纸</w:t>
      </w:r>
      <w:r>
        <w:rPr>
          <w:rFonts w:hint="eastAsia" w:ascii="仿宋" w:hAnsi="仿宋" w:eastAsia="仿宋" w:cs="仿宋"/>
          <w:color w:val="333333"/>
          <w:kern w:val="0"/>
          <w:sz w:val="32"/>
          <w:szCs w:val="32"/>
          <w:lang w:bidi="ar"/>
        </w:rPr>
        <w:t>、</w:t>
      </w:r>
      <w:r>
        <w:rPr>
          <w:rFonts w:ascii="仿宋" w:hAnsi="仿宋" w:eastAsia="仿宋" w:cs="仿宋"/>
          <w:color w:val="333333"/>
          <w:kern w:val="0"/>
          <w:sz w:val="32"/>
          <w:szCs w:val="32"/>
          <w:lang w:bidi="ar"/>
        </w:rPr>
        <w:t xml:space="preserve">互联网以及安全实景模拟教育基地等多种载体，开展应急宣传教育。新闻媒体应当无偿开展危险化学品生产安全事故预防和应对、救互救知识的公益宣传。 </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704" w:name="_Toc4227"/>
      <w:bookmarkStart w:id="705" w:name="_Toc31075"/>
      <w:bookmarkStart w:id="706" w:name="_Toc24540"/>
      <w:bookmarkStart w:id="707" w:name="_Toc1680"/>
      <w:bookmarkStart w:id="708" w:name="_Toc24093"/>
      <w:bookmarkStart w:id="709" w:name="_Toc627"/>
      <w:bookmarkStart w:id="710" w:name="_Toc29718"/>
      <w:bookmarkStart w:id="711" w:name="_Toc9407"/>
      <w:bookmarkStart w:id="712" w:name="_Toc18113"/>
      <w:bookmarkStart w:id="713" w:name="_Toc21251"/>
      <w:bookmarkStart w:id="714" w:name="_Toc1734"/>
      <w:r>
        <w:rPr>
          <w:rFonts w:hint="eastAsia" w:ascii="仿宋" w:hAnsi="仿宋" w:eastAsia="仿宋" w:cs="仿宋"/>
          <w:b/>
          <w:bCs/>
          <w:color w:val="333333"/>
          <w:sz w:val="32"/>
          <w:szCs w:val="32"/>
          <w:shd w:val="clear" w:color="auto" w:fill="FFFFFF"/>
        </w:rPr>
        <w:t>7.5</w:t>
      </w:r>
      <w:r>
        <w:rPr>
          <w:rFonts w:ascii="仿宋" w:hAnsi="仿宋" w:eastAsia="仿宋" w:cs="仿宋"/>
          <w:b/>
          <w:bCs/>
          <w:color w:val="333333"/>
          <w:sz w:val="32"/>
          <w:szCs w:val="32"/>
          <w:shd w:val="clear" w:color="auto" w:fill="FFFFFF"/>
        </w:rPr>
        <w:t xml:space="preserve"> 培训</w:t>
      </w:r>
      <w:bookmarkEnd w:id="704"/>
      <w:bookmarkEnd w:id="705"/>
      <w:bookmarkEnd w:id="706"/>
      <w:bookmarkEnd w:id="707"/>
      <w:bookmarkEnd w:id="708"/>
      <w:bookmarkEnd w:id="709"/>
      <w:bookmarkEnd w:id="710"/>
      <w:bookmarkEnd w:id="711"/>
      <w:bookmarkEnd w:id="712"/>
      <w:bookmarkEnd w:id="713"/>
      <w:bookmarkEnd w:id="714"/>
      <w:r>
        <w:rPr>
          <w:rFonts w:ascii="仿宋" w:hAnsi="仿宋" w:eastAsia="仿宋" w:cs="仿宋"/>
          <w:b/>
          <w:bCs/>
          <w:color w:val="333333"/>
          <w:sz w:val="32"/>
          <w:szCs w:val="32"/>
          <w:shd w:val="clear" w:color="auto" w:fill="FFFFFF"/>
        </w:rPr>
        <w:t xml:space="preserve">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玉泉区生产安全事故应急指挥办公室及</w:t>
      </w:r>
      <w:r>
        <w:rPr>
          <w:rFonts w:ascii="仿宋" w:hAnsi="仿宋" w:eastAsia="仿宋" w:cs="仿宋"/>
          <w:color w:val="333333"/>
          <w:kern w:val="0"/>
          <w:sz w:val="32"/>
          <w:szCs w:val="32"/>
          <w:lang w:bidi="ar"/>
        </w:rPr>
        <w:t>相关部门</w:t>
      </w:r>
      <w:r>
        <w:rPr>
          <w:rFonts w:hint="eastAsia" w:ascii="仿宋" w:hAnsi="仿宋" w:eastAsia="仿宋" w:cs="仿宋"/>
          <w:color w:val="333333"/>
          <w:kern w:val="0"/>
          <w:sz w:val="32"/>
          <w:szCs w:val="32"/>
          <w:lang w:bidi="ar"/>
        </w:rPr>
        <w:t>、</w:t>
      </w:r>
      <w:r>
        <w:rPr>
          <w:rFonts w:ascii="仿宋" w:hAnsi="仿宋" w:eastAsia="仿宋" w:cs="仿宋"/>
          <w:color w:val="333333"/>
          <w:kern w:val="0"/>
          <w:sz w:val="32"/>
          <w:szCs w:val="32"/>
          <w:lang w:bidi="ar"/>
        </w:rPr>
        <w:t xml:space="preserve">有关单位应组织危险化学品监管人员、应急救援人员开展应急管理相关培训，提升其预防和应对危险化学品事故的意识和能力。 </w:t>
      </w:r>
    </w:p>
    <w:p>
      <w:pPr>
        <w:autoSpaceDE w:val="0"/>
        <w:autoSpaceDN w:val="0"/>
        <w:spacing w:line="360" w:lineRule="auto"/>
        <w:ind w:firstLine="56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w:t>
      </w:r>
      <w:r>
        <w:rPr>
          <w:rFonts w:ascii="仿宋" w:hAnsi="仿宋" w:eastAsia="仿宋" w:cs="仿宋"/>
          <w:color w:val="333333"/>
          <w:kern w:val="0"/>
          <w:sz w:val="32"/>
          <w:szCs w:val="32"/>
          <w:lang w:bidi="ar"/>
        </w:rPr>
        <w:t xml:space="preserve">各相关部门和有关单位应当按照隶属关系和管理责任， 加强本行业、本领域专业应急救援队伍的培训，提高其专业救援能力和安全防护技能。 </w:t>
      </w:r>
    </w:p>
    <w:p>
      <w:pPr>
        <w:autoSpaceDE w:val="0"/>
        <w:autoSpaceDN w:val="0"/>
        <w:spacing w:line="360" w:lineRule="auto"/>
        <w:ind w:firstLine="56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 xml:space="preserve">危险化学品储存、经营销售企业应当对从业人员进行应急教 育和培训，保证从业人员具备必要的应急知识，掌握风险防范技 能和事故应急措施。 </w:t>
      </w:r>
    </w:p>
    <w:p>
      <w:pPr>
        <w:autoSpaceDE w:val="0"/>
        <w:autoSpaceDN w:val="0"/>
        <w:spacing w:line="360" w:lineRule="auto"/>
        <w:ind w:firstLine="56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 xml:space="preserve">应急救援队伍建立单位或者兼职应急救援人员所在单位应当按照国家有关规定定期对应急救援人员进行培训，应急救援人员经培训合格后，方可参加应急救援工作。 </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715" w:name="_Toc19844"/>
      <w:bookmarkStart w:id="716" w:name="_Toc10360"/>
      <w:bookmarkStart w:id="717" w:name="_Toc14157"/>
      <w:bookmarkStart w:id="718" w:name="_Toc760"/>
      <w:bookmarkStart w:id="719" w:name="_Toc14817"/>
      <w:bookmarkStart w:id="720" w:name="_Toc26632"/>
      <w:bookmarkStart w:id="721" w:name="_Toc354"/>
      <w:bookmarkStart w:id="722" w:name="_Toc17241"/>
      <w:bookmarkStart w:id="723" w:name="_Toc30985"/>
      <w:bookmarkStart w:id="724" w:name="_Toc25556"/>
      <w:bookmarkStart w:id="725" w:name="_Toc28804"/>
      <w:r>
        <w:rPr>
          <w:rFonts w:hint="eastAsia" w:ascii="仿宋" w:hAnsi="仿宋" w:eastAsia="仿宋" w:cs="仿宋"/>
          <w:b/>
          <w:bCs/>
          <w:color w:val="333333"/>
          <w:sz w:val="32"/>
          <w:szCs w:val="32"/>
          <w:shd w:val="clear" w:color="auto" w:fill="FFFFFF"/>
        </w:rPr>
        <w:t xml:space="preserve">7.6 </w:t>
      </w:r>
      <w:r>
        <w:rPr>
          <w:rFonts w:ascii="仿宋" w:hAnsi="仿宋" w:eastAsia="仿宋" w:cs="仿宋"/>
          <w:b/>
          <w:bCs/>
          <w:color w:val="333333"/>
          <w:sz w:val="32"/>
          <w:szCs w:val="32"/>
          <w:shd w:val="clear" w:color="auto" w:fill="FFFFFF"/>
        </w:rPr>
        <w:t>应急演练</w:t>
      </w:r>
      <w:bookmarkEnd w:id="715"/>
      <w:bookmarkEnd w:id="716"/>
      <w:bookmarkEnd w:id="717"/>
      <w:bookmarkEnd w:id="718"/>
      <w:bookmarkEnd w:id="719"/>
      <w:bookmarkEnd w:id="720"/>
      <w:bookmarkEnd w:id="721"/>
      <w:bookmarkEnd w:id="722"/>
      <w:bookmarkEnd w:id="723"/>
      <w:bookmarkEnd w:id="724"/>
      <w:bookmarkEnd w:id="725"/>
      <w:r>
        <w:rPr>
          <w:rFonts w:ascii="仿宋" w:hAnsi="仿宋" w:eastAsia="仿宋" w:cs="仿宋"/>
          <w:b/>
          <w:bCs/>
          <w:color w:val="333333"/>
          <w:sz w:val="32"/>
          <w:szCs w:val="32"/>
          <w:shd w:val="clear" w:color="auto" w:fill="FFFFFF"/>
        </w:rPr>
        <w:t xml:space="preserve"> </w:t>
      </w:r>
    </w:p>
    <w:p>
      <w:pPr>
        <w:autoSpaceDE w:val="0"/>
        <w:autoSpaceDN w:val="0"/>
        <w:spacing w:line="360" w:lineRule="auto"/>
        <w:ind w:firstLine="56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在</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人民政府的统一领导下，</w:t>
      </w:r>
      <w:r>
        <w:rPr>
          <w:rFonts w:hint="eastAsia" w:ascii="仿宋" w:hAnsi="仿宋" w:eastAsia="仿宋" w:cs="仿宋"/>
          <w:color w:val="333333"/>
          <w:kern w:val="0"/>
          <w:sz w:val="32"/>
          <w:szCs w:val="32"/>
          <w:lang w:bidi="ar"/>
        </w:rPr>
        <w:t>玉泉区生产安全事故应急指挥办公室</w:t>
      </w:r>
      <w:r>
        <w:rPr>
          <w:rFonts w:ascii="仿宋" w:hAnsi="仿宋" w:eastAsia="仿宋" w:cs="仿宋"/>
          <w:color w:val="333333"/>
          <w:kern w:val="0"/>
          <w:sz w:val="32"/>
          <w:szCs w:val="32"/>
          <w:lang w:bidi="ar"/>
        </w:rPr>
        <w:t>统筹协调和检查指导全市危险化学品事故应急演练工作，负责规划、组织和实施跨区域、跨系统的</w:t>
      </w:r>
      <w:r>
        <w:rPr>
          <w:rFonts w:hint="eastAsia" w:ascii="仿宋" w:hAnsi="仿宋" w:eastAsia="仿宋" w:cs="仿宋"/>
          <w:color w:val="333333"/>
          <w:kern w:val="0"/>
          <w:sz w:val="32"/>
          <w:szCs w:val="32"/>
          <w:lang w:bidi="ar"/>
        </w:rPr>
        <w:t>区</w:t>
      </w:r>
      <w:r>
        <w:rPr>
          <w:rFonts w:ascii="仿宋" w:hAnsi="仿宋" w:eastAsia="仿宋" w:cs="仿宋"/>
          <w:color w:val="333333"/>
          <w:kern w:val="0"/>
          <w:sz w:val="32"/>
          <w:szCs w:val="32"/>
          <w:lang w:bidi="ar"/>
        </w:rPr>
        <w:t xml:space="preserve">级综合应急演练。 </w:t>
      </w:r>
    </w:p>
    <w:p>
      <w:pPr>
        <w:autoSpaceDE w:val="0"/>
        <w:autoSpaceDN w:val="0"/>
        <w:spacing w:line="360" w:lineRule="auto"/>
        <w:ind w:firstLine="56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生产安全应急指挥部办公室负责建立应急预案演练制度， 至少每</w:t>
      </w:r>
      <w:r>
        <w:rPr>
          <w:rFonts w:hint="eastAsia" w:ascii="仿宋" w:hAnsi="仿宋" w:eastAsia="仿宋" w:cs="仿宋"/>
          <w:color w:val="333333"/>
          <w:kern w:val="0"/>
          <w:sz w:val="32"/>
          <w:szCs w:val="32"/>
          <w:lang w:bidi="ar"/>
        </w:rPr>
        <w:t>2</w:t>
      </w:r>
      <w:r>
        <w:rPr>
          <w:rFonts w:ascii="仿宋" w:hAnsi="仿宋" w:eastAsia="仿宋" w:cs="仿宋"/>
          <w:color w:val="333333"/>
          <w:kern w:val="0"/>
          <w:sz w:val="32"/>
          <w:szCs w:val="32"/>
          <w:lang w:bidi="ar"/>
        </w:rPr>
        <w:t>年进行</w:t>
      </w:r>
      <w:r>
        <w:rPr>
          <w:rFonts w:hint="eastAsia" w:ascii="仿宋" w:hAnsi="仿宋" w:eastAsia="仿宋" w:cs="仿宋"/>
          <w:color w:val="333333"/>
          <w:kern w:val="0"/>
          <w:sz w:val="32"/>
          <w:szCs w:val="32"/>
          <w:lang w:bidi="ar"/>
        </w:rPr>
        <w:t>1</w:t>
      </w:r>
      <w:r>
        <w:rPr>
          <w:rFonts w:ascii="仿宋" w:hAnsi="仿宋" w:eastAsia="仿宋" w:cs="仿宋"/>
          <w:color w:val="333333"/>
          <w:kern w:val="0"/>
          <w:sz w:val="32"/>
          <w:szCs w:val="32"/>
          <w:lang w:bidi="ar"/>
        </w:rPr>
        <w:t xml:space="preserve">次综合应急演练，做好各部门之间的协调配合及 通信联络，确保紧急状态下的有效沟通和统一指挥。通过应急演 练，培训和锻炼应急救援队伍，改进和完善应急预案，并做好演 练评估工作。 </w:t>
      </w:r>
    </w:p>
    <w:p>
      <w:pPr>
        <w:autoSpaceDE w:val="0"/>
        <w:autoSpaceDN w:val="0"/>
        <w:spacing w:line="360" w:lineRule="auto"/>
        <w:ind w:firstLine="56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危险化学品从业单位应按要求定期开展应急演练，并将演练 方案、演练音像（图片）等资料及时归档</w:t>
      </w:r>
      <w:r>
        <w:rPr>
          <w:rFonts w:hint="eastAsia" w:ascii="仿宋" w:hAnsi="仿宋" w:eastAsia="仿宋" w:cs="仿宋"/>
          <w:color w:val="333333"/>
          <w:kern w:val="0"/>
          <w:sz w:val="32"/>
          <w:szCs w:val="32"/>
          <w:lang w:bidi="ar"/>
        </w:rPr>
        <w:t>。</w:t>
      </w:r>
    </w:p>
    <w:p>
      <w:pPr>
        <w:pStyle w:val="3"/>
        <w:adjustRightInd w:val="0"/>
        <w:snapToGrid w:val="0"/>
        <w:ind w:firstLine="642" w:firstLineChars="200"/>
        <w:rPr>
          <w:rFonts w:hint="default" w:eastAsia="仿宋"/>
          <w:b/>
          <w:sz w:val="32"/>
        </w:rPr>
      </w:pPr>
      <w:bookmarkStart w:id="726" w:name="_Toc12197"/>
      <w:bookmarkStart w:id="727" w:name="_Toc10894"/>
      <w:bookmarkStart w:id="728" w:name="_Toc2498"/>
      <w:bookmarkStart w:id="729" w:name="_Toc799"/>
      <w:bookmarkStart w:id="730" w:name="_Toc30860"/>
      <w:bookmarkStart w:id="731" w:name="_Toc7371"/>
      <w:bookmarkStart w:id="732" w:name="_Toc27265"/>
      <w:bookmarkStart w:id="733" w:name="_Toc480"/>
      <w:bookmarkStart w:id="734" w:name="_Toc20836"/>
      <w:bookmarkStart w:id="735" w:name="_Toc15615"/>
      <w:bookmarkStart w:id="736" w:name="_Toc6742"/>
      <w:r>
        <w:rPr>
          <w:rFonts w:eastAsia="仿宋"/>
          <w:b/>
          <w:sz w:val="32"/>
        </w:rPr>
        <w:t>8</w:t>
      </w:r>
      <w:r>
        <w:rPr>
          <w:rFonts w:hint="eastAsia" w:eastAsia="仿宋"/>
          <w:b/>
          <w:sz w:val="32"/>
          <w:lang w:val="en-US" w:eastAsia="zh-CN"/>
        </w:rPr>
        <w:t xml:space="preserve"> </w:t>
      </w:r>
      <w:r>
        <w:rPr>
          <w:rFonts w:eastAsia="仿宋"/>
          <w:b/>
          <w:sz w:val="32"/>
        </w:rPr>
        <w:t>附则</w:t>
      </w:r>
      <w:bookmarkEnd w:id="726"/>
      <w:bookmarkEnd w:id="727"/>
      <w:bookmarkEnd w:id="728"/>
      <w:bookmarkEnd w:id="729"/>
      <w:bookmarkEnd w:id="730"/>
      <w:bookmarkEnd w:id="731"/>
      <w:bookmarkEnd w:id="732"/>
      <w:bookmarkEnd w:id="733"/>
      <w:bookmarkEnd w:id="734"/>
      <w:bookmarkEnd w:id="735"/>
      <w:bookmarkEnd w:id="736"/>
      <w:r>
        <w:rPr>
          <w:rFonts w:eastAsia="仿宋"/>
          <w:b/>
          <w:sz w:val="32"/>
        </w:rPr>
        <w:t xml:space="preserve"> </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737" w:name="_Toc169"/>
      <w:bookmarkStart w:id="738" w:name="_Toc18812"/>
      <w:bookmarkStart w:id="739" w:name="_Toc10157"/>
      <w:bookmarkStart w:id="740" w:name="_Toc7326"/>
      <w:bookmarkStart w:id="741" w:name="_Toc12091"/>
      <w:bookmarkStart w:id="742" w:name="_Toc25529"/>
      <w:bookmarkStart w:id="743" w:name="_Toc26336"/>
      <w:bookmarkStart w:id="744" w:name="_Toc18019"/>
      <w:bookmarkStart w:id="745" w:name="_Toc11323"/>
      <w:bookmarkStart w:id="746" w:name="_Toc837"/>
      <w:bookmarkStart w:id="747" w:name="_Toc8523"/>
      <w:r>
        <w:rPr>
          <w:rFonts w:hint="eastAsia" w:ascii="仿宋" w:hAnsi="仿宋" w:eastAsia="仿宋" w:cs="仿宋"/>
          <w:b/>
          <w:bCs/>
          <w:color w:val="333333"/>
          <w:sz w:val="32"/>
          <w:szCs w:val="32"/>
          <w:shd w:val="clear" w:color="auto" w:fill="FFFFFF"/>
        </w:rPr>
        <w:t xml:space="preserve">8.1 </w:t>
      </w:r>
      <w:r>
        <w:rPr>
          <w:rFonts w:ascii="仿宋" w:hAnsi="仿宋" w:eastAsia="仿宋" w:cs="仿宋"/>
          <w:b/>
          <w:bCs/>
          <w:color w:val="333333"/>
          <w:sz w:val="32"/>
          <w:szCs w:val="32"/>
          <w:shd w:val="clear" w:color="auto" w:fill="FFFFFF"/>
        </w:rPr>
        <w:t>定义和说明</w:t>
      </w:r>
      <w:bookmarkEnd w:id="737"/>
      <w:bookmarkEnd w:id="738"/>
      <w:bookmarkEnd w:id="739"/>
      <w:bookmarkEnd w:id="740"/>
      <w:bookmarkEnd w:id="741"/>
      <w:bookmarkEnd w:id="742"/>
      <w:bookmarkEnd w:id="743"/>
      <w:bookmarkEnd w:id="744"/>
      <w:bookmarkEnd w:id="745"/>
      <w:bookmarkEnd w:id="746"/>
      <w:bookmarkEnd w:id="747"/>
      <w:r>
        <w:rPr>
          <w:rFonts w:ascii="仿宋" w:hAnsi="仿宋" w:eastAsia="仿宋" w:cs="仿宋"/>
          <w:b/>
          <w:bCs/>
          <w:color w:val="333333"/>
          <w:sz w:val="32"/>
          <w:szCs w:val="32"/>
          <w:shd w:val="clear" w:color="auto" w:fill="FFFFFF"/>
        </w:rPr>
        <w:t xml:space="preserve"> </w:t>
      </w:r>
    </w:p>
    <w:p>
      <w:pPr>
        <w:autoSpaceDE w:val="0"/>
        <w:autoSpaceDN w:val="0"/>
        <w:spacing w:line="360" w:lineRule="auto"/>
        <w:ind w:firstLine="56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 xml:space="preserve">相关部门：是指与危险化学品生产安全事故应对工作有关的 </w:t>
      </w:r>
      <w:r>
        <w:rPr>
          <w:rFonts w:hint="eastAsia" w:ascii="仿宋" w:hAnsi="仿宋" w:eastAsia="仿宋" w:cs="仿宋"/>
          <w:color w:val="333333"/>
          <w:kern w:val="0"/>
          <w:sz w:val="32"/>
          <w:szCs w:val="32"/>
          <w:lang w:bidi="ar"/>
        </w:rPr>
        <w:t>玉泉区人民</w:t>
      </w:r>
      <w:r>
        <w:rPr>
          <w:rFonts w:ascii="仿宋" w:hAnsi="仿宋" w:eastAsia="仿宋" w:cs="仿宋"/>
          <w:color w:val="333333"/>
          <w:kern w:val="0"/>
          <w:sz w:val="32"/>
          <w:szCs w:val="32"/>
          <w:lang w:bidi="ar"/>
        </w:rPr>
        <w:t xml:space="preserve">政府各相关部门，即各委、办、局。 </w:t>
      </w:r>
    </w:p>
    <w:p>
      <w:pPr>
        <w:autoSpaceDE w:val="0"/>
        <w:autoSpaceDN w:val="0"/>
        <w:spacing w:line="360" w:lineRule="auto"/>
        <w:ind w:firstLine="56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有关单位：是指与</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危险化学品生产安全事故应对工作密切相关，但不在</w:t>
      </w:r>
      <w:r>
        <w:rPr>
          <w:rFonts w:hint="eastAsia" w:ascii="仿宋" w:hAnsi="仿宋" w:eastAsia="仿宋" w:cs="仿宋"/>
          <w:color w:val="333333"/>
          <w:kern w:val="0"/>
          <w:sz w:val="32"/>
          <w:szCs w:val="32"/>
          <w:lang w:bidi="ar"/>
        </w:rPr>
        <w:t>玉泉区人民</w:t>
      </w:r>
      <w:r>
        <w:rPr>
          <w:rFonts w:ascii="仿宋" w:hAnsi="仿宋" w:eastAsia="仿宋" w:cs="仿宋"/>
          <w:color w:val="333333"/>
          <w:kern w:val="0"/>
          <w:sz w:val="32"/>
          <w:szCs w:val="32"/>
          <w:lang w:bidi="ar"/>
        </w:rPr>
        <w:t>政府工作部门范围内的单位，包括中 央、自治区</w:t>
      </w:r>
      <w:r>
        <w:rPr>
          <w:rFonts w:hint="eastAsia" w:ascii="仿宋" w:hAnsi="仿宋" w:eastAsia="仿宋" w:cs="仿宋"/>
          <w:color w:val="333333"/>
          <w:kern w:val="0"/>
          <w:sz w:val="32"/>
          <w:szCs w:val="32"/>
          <w:lang w:bidi="ar"/>
        </w:rPr>
        <w:t>、市</w:t>
      </w:r>
      <w:r>
        <w:rPr>
          <w:rFonts w:ascii="仿宋" w:hAnsi="仿宋" w:eastAsia="仿宋" w:cs="仿宋"/>
          <w:color w:val="333333"/>
          <w:kern w:val="0"/>
          <w:sz w:val="32"/>
          <w:szCs w:val="32"/>
          <w:lang w:bidi="ar"/>
        </w:rPr>
        <w:t>垂直管理部门设在本</w:t>
      </w:r>
      <w:r>
        <w:rPr>
          <w:rFonts w:hint="eastAsia" w:ascii="仿宋" w:hAnsi="仿宋" w:eastAsia="仿宋" w:cs="仿宋"/>
          <w:color w:val="333333"/>
          <w:kern w:val="0"/>
          <w:sz w:val="32"/>
          <w:szCs w:val="32"/>
          <w:lang w:bidi="ar"/>
        </w:rPr>
        <w:t>区</w:t>
      </w:r>
      <w:r>
        <w:rPr>
          <w:rFonts w:ascii="仿宋" w:hAnsi="仿宋" w:eastAsia="仿宋" w:cs="仿宋"/>
          <w:color w:val="333333"/>
          <w:kern w:val="0"/>
          <w:sz w:val="32"/>
          <w:szCs w:val="32"/>
          <w:lang w:bidi="ar"/>
        </w:rPr>
        <w:t xml:space="preserve">的机构。 </w:t>
      </w:r>
    </w:p>
    <w:p>
      <w:pPr>
        <w:autoSpaceDE w:val="0"/>
        <w:autoSpaceDN w:val="0"/>
        <w:spacing w:line="360" w:lineRule="auto"/>
        <w:ind w:firstLine="56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 xml:space="preserve">本预案有关数量的表述中“以上”含本数，“以下”不含本数。 </w:t>
      </w:r>
    </w:p>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748" w:name="_Toc6633"/>
      <w:bookmarkStart w:id="749" w:name="_Toc7647"/>
      <w:bookmarkStart w:id="750" w:name="_Toc1293"/>
      <w:bookmarkStart w:id="751" w:name="_Toc6136"/>
      <w:r>
        <w:rPr>
          <w:rFonts w:hint="eastAsia" w:ascii="仿宋" w:hAnsi="仿宋" w:eastAsia="仿宋" w:cs="仿宋"/>
          <w:b/>
          <w:bCs/>
          <w:color w:val="333333"/>
          <w:sz w:val="32"/>
          <w:szCs w:val="32"/>
          <w:shd w:val="clear" w:color="auto" w:fill="FFFFFF"/>
        </w:rPr>
        <w:t>8.2 预案解译</w:t>
      </w:r>
      <w:bookmarkEnd w:id="748"/>
      <w:bookmarkEnd w:id="749"/>
      <w:bookmarkEnd w:id="750"/>
    </w:p>
    <w:p>
      <w:pPr>
        <w:widowControl/>
        <w:autoSpaceDE w:val="0"/>
        <w:autoSpaceDN w:val="0"/>
        <w:spacing w:after="120" w:line="360" w:lineRule="auto"/>
        <w:ind w:firstLine="560"/>
        <w:rPr>
          <w:rFonts w:ascii="仿宋" w:hAnsi="仿宋" w:eastAsia="仿宋" w:cs="仿宋"/>
          <w:b/>
          <w:bCs/>
          <w:color w:val="333333"/>
          <w:kern w:val="0"/>
          <w:sz w:val="32"/>
          <w:szCs w:val="32"/>
          <w:shd w:val="clear" w:color="auto" w:fill="FFFFFF"/>
        </w:rPr>
      </w:pPr>
      <w:r>
        <w:rPr>
          <w:rFonts w:ascii="仿宋" w:hAnsi="仿宋" w:eastAsia="仿宋" w:cs="仿宋"/>
          <w:color w:val="333333"/>
          <w:kern w:val="0"/>
          <w:sz w:val="32"/>
          <w:szCs w:val="32"/>
          <w:lang w:bidi="ar"/>
        </w:rPr>
        <w:t>本预案由玉泉区应急管理局负责解释。</w:t>
      </w:r>
    </w:p>
    <w:p>
      <w:pPr>
        <w:pStyle w:val="15"/>
        <w:widowControl/>
        <w:spacing w:beforeAutospacing="0" w:after="120" w:afterAutospacing="0" w:line="384" w:lineRule="atLeast"/>
        <w:ind w:firstLine="640"/>
        <w:outlineLvl w:val="1"/>
        <w:rPr>
          <w:rFonts w:ascii="仿宋" w:hAnsi="仿宋" w:eastAsia="仿宋" w:cs="仿宋"/>
          <w:b/>
          <w:bCs/>
          <w:color w:val="333333"/>
          <w:sz w:val="32"/>
          <w:szCs w:val="32"/>
          <w:shd w:val="clear" w:color="auto" w:fill="FFFFFF"/>
        </w:rPr>
      </w:pPr>
      <w:bookmarkStart w:id="752" w:name="_Toc13262"/>
      <w:bookmarkStart w:id="753" w:name="_Toc7552"/>
      <w:bookmarkStart w:id="754" w:name="_Toc11008"/>
      <w:r>
        <w:rPr>
          <w:rFonts w:hint="eastAsia" w:ascii="仿宋" w:hAnsi="仿宋" w:eastAsia="仿宋" w:cs="仿宋"/>
          <w:b/>
          <w:bCs/>
          <w:color w:val="333333"/>
          <w:sz w:val="32"/>
          <w:szCs w:val="32"/>
          <w:shd w:val="clear" w:color="auto" w:fill="FFFFFF"/>
        </w:rPr>
        <w:t>8.3 预案发布时间</w:t>
      </w:r>
      <w:bookmarkEnd w:id="752"/>
      <w:bookmarkEnd w:id="753"/>
      <w:bookmarkEnd w:id="754"/>
    </w:p>
    <w:p>
      <w:pPr>
        <w:widowControl/>
        <w:autoSpaceDE w:val="0"/>
        <w:autoSpaceDN w:val="0"/>
        <w:spacing w:after="120" w:line="360" w:lineRule="auto"/>
        <w:ind w:firstLine="560"/>
        <w:rPr>
          <w:rFonts w:ascii="仿宋" w:hAnsi="仿宋" w:eastAsia="仿宋" w:cs="仿宋"/>
          <w:b/>
          <w:bCs/>
          <w:color w:val="333333"/>
          <w:kern w:val="0"/>
          <w:sz w:val="32"/>
          <w:szCs w:val="32"/>
          <w:shd w:val="clear" w:color="auto" w:fill="FFFFFF"/>
        </w:rPr>
      </w:pPr>
      <w:r>
        <w:rPr>
          <w:rFonts w:ascii="仿宋" w:hAnsi="仿宋" w:eastAsia="仿宋" w:cs="仿宋"/>
          <w:color w:val="333333"/>
          <w:kern w:val="0"/>
          <w:sz w:val="32"/>
          <w:szCs w:val="32"/>
          <w:lang w:bidi="ar"/>
        </w:rPr>
        <w:t>本预案自发布之日起施行。</w:t>
      </w:r>
    </w:p>
    <w:bookmarkEnd w:id="751"/>
    <w:p>
      <w:pPr>
        <w:pStyle w:val="3"/>
        <w:adjustRightInd w:val="0"/>
        <w:snapToGrid w:val="0"/>
        <w:ind w:firstLine="642" w:firstLineChars="200"/>
        <w:rPr>
          <w:rFonts w:hint="eastAsia" w:eastAsia="仿宋"/>
          <w:b/>
          <w:sz w:val="32"/>
          <w:lang w:val="en-US" w:eastAsia="zh-CN"/>
        </w:rPr>
      </w:pPr>
      <w:bookmarkStart w:id="755" w:name="_Toc6118"/>
      <w:bookmarkStart w:id="756" w:name="_Toc29683"/>
      <w:bookmarkStart w:id="757" w:name="_Toc912"/>
      <w:bookmarkStart w:id="758" w:name="_Toc22501"/>
      <w:bookmarkStart w:id="759" w:name="_Toc26624"/>
      <w:bookmarkStart w:id="760" w:name="_Toc2045"/>
      <w:bookmarkStart w:id="761" w:name="_Toc7175"/>
      <w:bookmarkStart w:id="762" w:name="_Toc26275"/>
      <w:bookmarkStart w:id="763" w:name="_Toc21908"/>
      <w:bookmarkStart w:id="764" w:name="_Toc19246"/>
      <w:r>
        <w:rPr>
          <w:rFonts w:eastAsia="仿宋"/>
          <w:b/>
          <w:sz w:val="32"/>
        </w:rPr>
        <w:t>9</w:t>
      </w:r>
      <w:r>
        <w:rPr>
          <w:rFonts w:hint="eastAsia" w:eastAsia="仿宋"/>
          <w:b/>
          <w:sz w:val="32"/>
          <w:lang w:val="en-US" w:eastAsia="zh-CN"/>
        </w:rPr>
        <w:t xml:space="preserve"> </w:t>
      </w:r>
      <w:r>
        <w:rPr>
          <w:rFonts w:hint="default" w:eastAsia="仿宋"/>
          <w:b/>
          <w:sz w:val="32"/>
        </w:rPr>
        <w:t>附</w:t>
      </w:r>
      <w:bookmarkEnd w:id="755"/>
      <w:bookmarkEnd w:id="756"/>
      <w:bookmarkEnd w:id="757"/>
      <w:bookmarkEnd w:id="758"/>
      <w:bookmarkEnd w:id="759"/>
      <w:bookmarkEnd w:id="760"/>
      <w:bookmarkEnd w:id="761"/>
      <w:bookmarkEnd w:id="762"/>
      <w:bookmarkEnd w:id="763"/>
      <w:bookmarkEnd w:id="764"/>
      <w:r>
        <w:rPr>
          <w:rFonts w:hint="eastAsia" w:eastAsia="仿宋"/>
          <w:b/>
          <w:sz w:val="32"/>
          <w:lang w:val="en-US" w:eastAsia="zh-CN"/>
        </w:rPr>
        <w:t>件</w:t>
      </w:r>
    </w:p>
    <w:p>
      <w:pPr>
        <w:numPr>
          <w:ilvl w:val="255"/>
          <w:numId w:val="0"/>
        </w:numPr>
        <w:autoSpaceDE w:val="0"/>
        <w:autoSpaceDN w:val="0"/>
        <w:spacing w:line="360" w:lineRule="auto"/>
        <w:ind w:firstLine="640" w:firstLineChars="200"/>
        <w:rPr>
          <w:rFonts w:ascii="仿宋" w:hAnsi="仿宋" w:eastAsia="仿宋" w:cs="仿宋"/>
          <w:color w:val="333333"/>
          <w:kern w:val="0"/>
          <w:sz w:val="32"/>
          <w:szCs w:val="32"/>
          <w:lang w:bidi="ar"/>
        </w:rPr>
      </w:pPr>
      <w:r>
        <w:rPr>
          <w:rFonts w:ascii="仿宋" w:hAnsi="仿宋" w:eastAsia="仿宋" w:cs="仿宋"/>
          <w:color w:val="333333"/>
          <w:kern w:val="0"/>
          <w:sz w:val="32"/>
          <w:szCs w:val="32"/>
          <w:shd w:val="clear" w:color="auto" w:fill="FFFFFF"/>
          <w:lang w:bidi="ar"/>
        </w:rPr>
        <w:t>附件1：</w:t>
      </w:r>
      <w:r>
        <w:rPr>
          <w:rFonts w:ascii="仿宋" w:hAnsi="仿宋" w:eastAsia="仿宋" w:cs="仿宋"/>
          <w:color w:val="333333"/>
          <w:kern w:val="0"/>
          <w:sz w:val="32"/>
          <w:szCs w:val="32"/>
          <w:lang w:bidi="ar"/>
        </w:rPr>
        <w:t>玉泉区概况</w:t>
      </w:r>
    </w:p>
    <w:p>
      <w:pPr>
        <w:pStyle w:val="26"/>
        <w:numPr>
          <w:ilvl w:val="255"/>
          <w:numId w:val="0"/>
        </w:numPr>
        <w:ind w:firstLine="640" w:firstLineChars="200"/>
        <w:rPr>
          <w:rFonts w:ascii="仿宋" w:hAnsi="仿宋" w:eastAsia="仿宋" w:cs="仿宋"/>
          <w:sz w:val="32"/>
          <w:szCs w:val="32"/>
          <w:lang w:eastAsia="zh-CN"/>
        </w:rPr>
      </w:pPr>
      <w:bookmarkStart w:id="765" w:name="_Toc22888"/>
      <w:bookmarkStart w:id="766" w:name="_Toc16616"/>
      <w:bookmarkStart w:id="767" w:name="_Toc3013"/>
      <w:r>
        <w:rPr>
          <w:rFonts w:hint="eastAsia" w:ascii="仿宋" w:hAnsi="仿宋" w:eastAsia="仿宋" w:cs="仿宋"/>
          <w:color w:val="333333"/>
          <w:sz w:val="32"/>
          <w:szCs w:val="32"/>
          <w:lang w:eastAsia="zh-CN" w:bidi="ar"/>
        </w:rPr>
        <w:t>附件2：</w:t>
      </w:r>
      <w:r>
        <w:rPr>
          <w:rFonts w:hint="eastAsia" w:ascii="仿宋" w:hAnsi="仿宋" w:eastAsia="仿宋" w:cs="仿宋"/>
          <w:sz w:val="32"/>
          <w:szCs w:val="32"/>
          <w:lang w:eastAsia="zh-CN"/>
        </w:rPr>
        <w:t>玉泉区危险化学品企业危险性分析</w:t>
      </w:r>
      <w:bookmarkEnd w:id="765"/>
      <w:bookmarkEnd w:id="766"/>
      <w:bookmarkEnd w:id="767"/>
    </w:p>
    <w:p>
      <w:pPr>
        <w:pStyle w:val="26"/>
        <w:ind w:firstLine="640" w:firstLineChars="200"/>
        <w:rPr>
          <w:rFonts w:ascii="仿宋" w:hAnsi="仿宋" w:eastAsia="仿宋" w:cs="仿宋"/>
          <w:color w:val="333333"/>
          <w:sz w:val="32"/>
          <w:szCs w:val="32"/>
          <w:shd w:val="clear" w:color="auto" w:fill="FFFFFF"/>
          <w:lang w:eastAsia="zh-CN" w:bidi="ar"/>
        </w:rPr>
      </w:pPr>
      <w:bookmarkStart w:id="768" w:name="_Toc6801"/>
      <w:bookmarkStart w:id="769" w:name="_Toc11561"/>
      <w:bookmarkStart w:id="770" w:name="_Toc2039"/>
      <w:r>
        <w:rPr>
          <w:rFonts w:hint="eastAsia" w:ascii="仿宋" w:hAnsi="仿宋" w:eastAsia="仿宋" w:cs="仿宋"/>
          <w:color w:val="333333"/>
          <w:sz w:val="32"/>
          <w:szCs w:val="32"/>
          <w:lang w:eastAsia="zh-CN" w:bidi="ar"/>
        </w:rPr>
        <w:t>附件3：</w:t>
      </w:r>
      <w:r>
        <w:rPr>
          <w:rFonts w:hint="eastAsia" w:ascii="仿宋" w:hAnsi="仿宋" w:eastAsia="仿宋" w:cs="仿宋"/>
          <w:sz w:val="32"/>
          <w:szCs w:val="32"/>
          <w:lang w:eastAsia="zh-CN"/>
        </w:rPr>
        <w:t>玉泉区危险化学品生产安全事故应急处置工作流程图</w:t>
      </w:r>
      <w:bookmarkEnd w:id="768"/>
      <w:bookmarkEnd w:id="769"/>
      <w:bookmarkEnd w:id="770"/>
    </w:p>
    <w:p>
      <w:pPr>
        <w:pStyle w:val="26"/>
        <w:numPr>
          <w:ilvl w:val="255"/>
          <w:numId w:val="0"/>
        </w:numPr>
        <w:ind w:firstLine="640" w:firstLineChars="200"/>
        <w:rPr>
          <w:rFonts w:ascii="仿宋" w:hAnsi="仿宋" w:eastAsia="仿宋" w:cs="仿宋"/>
          <w:sz w:val="32"/>
          <w:szCs w:val="32"/>
          <w:lang w:eastAsia="zh-CN"/>
        </w:rPr>
      </w:pPr>
      <w:bookmarkStart w:id="771" w:name="_Toc10726"/>
      <w:bookmarkStart w:id="772" w:name="_Toc25645"/>
      <w:bookmarkStart w:id="773" w:name="_Toc23457"/>
      <w:r>
        <w:rPr>
          <w:rFonts w:hint="eastAsia" w:ascii="仿宋" w:hAnsi="仿宋" w:eastAsia="仿宋" w:cs="仿宋"/>
          <w:sz w:val="32"/>
          <w:szCs w:val="32"/>
          <w:lang w:eastAsia="zh-CN"/>
        </w:rPr>
        <w:t>附件4：玉泉区有关应急部门、机构或人员的联系方式</w:t>
      </w:r>
      <w:bookmarkEnd w:id="771"/>
      <w:bookmarkEnd w:id="772"/>
      <w:bookmarkEnd w:id="773"/>
    </w:p>
    <w:p>
      <w:pPr>
        <w:pStyle w:val="26"/>
        <w:numPr>
          <w:ilvl w:val="255"/>
          <w:numId w:val="0"/>
        </w:numPr>
        <w:ind w:firstLine="640" w:firstLineChars="200"/>
        <w:rPr>
          <w:rFonts w:ascii="仿宋" w:hAnsi="仿宋" w:eastAsia="仿宋" w:cs="仿宋"/>
          <w:sz w:val="32"/>
          <w:szCs w:val="32"/>
          <w:lang w:eastAsia="zh-CN"/>
        </w:rPr>
      </w:pPr>
      <w:bookmarkStart w:id="774" w:name="_Toc31492"/>
      <w:bookmarkStart w:id="775" w:name="_Toc22740"/>
      <w:bookmarkStart w:id="776" w:name="_Toc15332"/>
      <w:r>
        <w:rPr>
          <w:rFonts w:hint="eastAsia" w:ascii="仿宋" w:hAnsi="仿宋" w:eastAsia="仿宋" w:cs="仿宋"/>
          <w:sz w:val="32"/>
          <w:szCs w:val="32"/>
          <w:lang w:eastAsia="zh-CN"/>
        </w:rPr>
        <w:t>附件5：玉泉区应急有关部门联系方式</w:t>
      </w:r>
      <w:bookmarkEnd w:id="774"/>
      <w:bookmarkEnd w:id="775"/>
      <w:bookmarkEnd w:id="776"/>
    </w:p>
    <w:p>
      <w:pPr>
        <w:pStyle w:val="26"/>
        <w:numPr>
          <w:ilvl w:val="255"/>
          <w:numId w:val="0"/>
        </w:numPr>
        <w:ind w:firstLine="640" w:firstLineChars="200"/>
        <w:rPr>
          <w:rFonts w:ascii="仿宋" w:hAnsi="仿宋" w:eastAsia="仿宋" w:cs="仿宋"/>
          <w:sz w:val="32"/>
          <w:szCs w:val="32"/>
          <w:lang w:eastAsia="zh-CN"/>
        </w:rPr>
      </w:pPr>
      <w:bookmarkStart w:id="777" w:name="_Toc17880"/>
      <w:bookmarkStart w:id="778" w:name="_Toc23738"/>
      <w:bookmarkStart w:id="779" w:name="_Toc13613"/>
      <w:r>
        <w:rPr>
          <w:rFonts w:hint="eastAsia" w:ascii="仿宋" w:hAnsi="仿宋" w:eastAsia="仿宋" w:cs="仿宋"/>
          <w:sz w:val="32"/>
          <w:szCs w:val="32"/>
          <w:lang w:eastAsia="zh-CN"/>
        </w:rPr>
        <w:t>附件6：玉泉区应急救援装备配置表</w:t>
      </w:r>
      <w:bookmarkEnd w:id="777"/>
      <w:bookmarkEnd w:id="778"/>
      <w:bookmarkEnd w:id="779"/>
    </w:p>
    <w:p>
      <w:pPr>
        <w:pStyle w:val="26"/>
        <w:ind w:firstLine="640" w:firstLineChars="200"/>
        <w:rPr>
          <w:lang w:eastAsia="zh-CN" w:bidi="ar"/>
        </w:rPr>
      </w:pPr>
      <w:bookmarkStart w:id="780" w:name="_Toc10601"/>
      <w:bookmarkStart w:id="781" w:name="_Toc15762"/>
      <w:bookmarkStart w:id="782" w:name="_Toc26486"/>
      <w:r>
        <w:rPr>
          <w:rFonts w:hint="eastAsia" w:ascii="仿宋" w:hAnsi="仿宋" w:eastAsia="仿宋" w:cs="仿宋"/>
          <w:sz w:val="32"/>
          <w:szCs w:val="32"/>
          <w:lang w:eastAsia="zh-CN"/>
        </w:rPr>
        <w:t>附件7：玉泉区应急救援队大应急救援装备配置表</w:t>
      </w:r>
      <w:bookmarkEnd w:id="780"/>
      <w:bookmarkEnd w:id="781"/>
      <w:bookmarkEnd w:id="782"/>
    </w:p>
    <w:p>
      <w:pPr>
        <w:pStyle w:val="26"/>
        <w:wordWrap w:val="0"/>
        <w:spacing w:after="120" w:afterLines="50"/>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附件8：玉泉区应急救援队伍表</w:t>
      </w:r>
    </w:p>
    <w:p>
      <w:pPr>
        <w:pStyle w:val="26"/>
        <w:ind w:firstLine="0"/>
        <w:rPr>
          <w:lang w:eastAsia="zh-CN" w:bidi="ar"/>
        </w:rPr>
        <w:sectPr>
          <w:footerReference r:id="rId8" w:type="default"/>
          <w:pgSz w:w="11900" w:h="16820"/>
          <w:pgMar w:top="1587" w:right="1587" w:bottom="1417" w:left="1588" w:header="720" w:footer="1134" w:gutter="0"/>
          <w:pgNumType w:fmt="decimal" w:start="1"/>
          <w:cols w:space="720" w:num="1"/>
          <w:docGrid w:linePitch="1" w:charSpace="0"/>
        </w:sectPr>
      </w:pPr>
    </w:p>
    <w:p>
      <w:pPr>
        <w:pStyle w:val="4"/>
        <w:adjustRightInd w:val="0"/>
        <w:snapToGrid w:val="0"/>
        <w:spacing w:before="120" w:after="120" w:line="240" w:lineRule="auto"/>
        <w:ind w:firstLine="0" w:firstLineChars="0"/>
        <w:outlineLvl w:val="0"/>
        <w:rPr>
          <w:rFonts w:hint="eastAsia" w:ascii="仿宋" w:hAnsi="仿宋" w:eastAsia="仿宋" w:cs="仿宋"/>
          <w:b/>
        </w:rPr>
      </w:pPr>
      <w:bookmarkStart w:id="783" w:name="_Toc29144"/>
      <w:bookmarkStart w:id="784" w:name="_Toc13708"/>
      <w:bookmarkStart w:id="785" w:name="_Toc426382154"/>
      <w:bookmarkStart w:id="786" w:name="_Toc24416"/>
      <w:bookmarkStart w:id="787" w:name="_Toc23206"/>
      <w:bookmarkStart w:id="788" w:name="_Toc4992"/>
      <w:bookmarkStart w:id="789" w:name="_Toc42857160"/>
      <w:bookmarkStart w:id="790" w:name="_Toc43812914"/>
      <w:bookmarkStart w:id="791" w:name="_Toc14680"/>
      <w:bookmarkStart w:id="792" w:name="_Toc27745419"/>
      <w:bookmarkStart w:id="793" w:name="_Toc7923"/>
      <w:r>
        <w:rPr>
          <w:rFonts w:hint="eastAsia" w:ascii="仿宋" w:hAnsi="仿宋" w:eastAsia="仿宋" w:cs="仿宋"/>
          <w:b/>
        </w:rPr>
        <w:t>附</w:t>
      </w:r>
      <w:r>
        <w:rPr>
          <w:rFonts w:hint="eastAsia" w:ascii="仿宋" w:hAnsi="仿宋" w:eastAsia="仿宋" w:cs="仿宋"/>
          <w:b/>
          <w:lang w:val="en-US" w:eastAsia="zh-CN"/>
        </w:rPr>
        <w:t>件</w:t>
      </w:r>
      <w:r>
        <w:rPr>
          <w:rFonts w:hint="eastAsia" w:ascii="仿宋" w:hAnsi="仿宋" w:eastAsia="仿宋" w:cs="仿宋"/>
          <w:b/>
        </w:rPr>
        <w:t>1：玉泉区概况</w:t>
      </w:r>
      <w:bookmarkEnd w:id="783"/>
      <w:bookmarkEnd w:id="784"/>
    </w:p>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玉泉区位于东经111°67′，北纬40°75′。地处呼和浩特市的中部，市区的西南部。东与玉泉区相邻，南和西与土默特左旗接壤，北与回民区毗连。辖区总面积258平方公里。</w:t>
      </w:r>
    </w:p>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玉泉区地处土默川平原，地貌类型较少，北部地质属于洪积与冲积的山前倾斜平原，南部为大黑河冲积平原。总体地势平坦，由东北向西南倾斜，海拔高度北部地区约1050米，西南约1020米，平均海拔高度为1035米。</w:t>
      </w:r>
    </w:p>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气候</w:t>
      </w:r>
    </w:p>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属温带大陆性季风气候，为北方干燥炎热型。冬季较长，约占半年，无霜期仅120多天。多年平均气温5—6℃。最冷是一月，平均气温约-13.2℃；最热为七月，平均气温21.9℃。平均气温年较差35.1℃。极端最高气温37.8℃（1955年7月23日），最低为-34.5℃（1957年2月8日），最大冰冻深度为1.2米。冬季较冷，但有逐渐转暖的趋势。日温差变化大，故有“早穿皮袄午穿纱”的民谚。气候干燥少雨雪，年平均降水量约400毫米，雨水多集中在七、八月间。历史上最高年降雨量900多毫米，最低年降雨量200毫米，日最大降雨量148.8毫米（1966年7月28日，五里营村）。风较多，全年静风日100天左右。大风季节多在春季。全年主导风向是西北风，夏季多西南风和东北风。</w:t>
      </w:r>
    </w:p>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2013年，矿藏及其它自然资源境内已探明地层内有五六个薄煤层，埋藏较深，暂无开采价值。</w:t>
      </w:r>
    </w:p>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野生动物有少量旱獭、野兔、田鼠、黄鼬、灰鼠、黄鼠、蜥蜴等；鸟类有麻雀、乌鸦、野鸡、杜鹃、啄木鸟、猫头鹰、布谷鸟、翠鸟、蜂鸟、石鸡、大雁、鹌鹑、画眉、百灵鸟等，除麻雀、乌鸦外，其它鸟类数量都不多。</w:t>
      </w:r>
    </w:p>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野生植物有甘草、蒲公英、艾蒿、益母草、沙棘、枸杞、苜蓿、水昌蒲、芦苇、车前子等数十种，产量都不大。山前的土地资源，分为6个等级。西菜园、昭君路两个街道的大部分农田土地被评定为“一级地”，即“肥力较高的一类土壤”。光能资源丰富，日照充足，属于全国的次高值区。</w:t>
      </w:r>
    </w:p>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玉泉区现辖1镇、9个街道办事处，49个社区、50个行政村。辖区总面积258平方公里,是一个</w:t>
      </w:r>
      <w:bookmarkStart w:id="849" w:name="_GoBack"/>
      <w:bookmarkEnd w:id="849"/>
      <w:r>
        <w:rPr>
          <w:rFonts w:hint="eastAsia" w:ascii="仿宋" w:hAnsi="仿宋" w:eastAsia="仿宋" w:cs="仿宋"/>
          <w:color w:val="333333"/>
          <w:kern w:val="0"/>
          <w:sz w:val="32"/>
          <w:szCs w:val="32"/>
          <w:lang w:bidi="ar"/>
        </w:rPr>
        <w:t>多民族聚居区。</w:t>
      </w:r>
    </w:p>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截至2020年11月1日零时，玉泉区常住人口524573人。</w:t>
      </w:r>
    </w:p>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交通</w:t>
      </w:r>
    </w:p>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玉泉区已形成由准格尔运煤专线、G209国道、S102、S103省道等多种运输方式构成的交通运输网络。</w:t>
      </w:r>
    </w:p>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铁路准格尔运煤专线经过玉泉区东甲兰村，境内全长12.4千米，设1个货运站——东甲兰站，通往乌兰察布市。</w:t>
      </w:r>
    </w:p>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绕城高速公路玉泉段全长9.6千米，双向8车道，有G209国道1个出口。有S102省道过境，境内长6.3千米，双向2车道，通往乌兰察布市凉城县；S103省道过境，境内长11.3千米，双向8车道。有县道 3条，总长24.7千米；有乡道4条总长40.4千米。</w:t>
      </w:r>
    </w:p>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呼和浩特长途汽车南站设在玉泉区兴隆巷街道办事处，是呼和浩特地区公路客运的枢纽。</w:t>
      </w:r>
    </w:p>
    <w:p>
      <w:pPr>
        <w:spacing w:line="360" w:lineRule="auto"/>
        <w:ind w:firstLine="640" w:firstLineChars="200"/>
        <w:jc w:val="left"/>
        <w:rPr>
          <w:rFonts w:ascii="仿宋" w:hAnsi="仿宋" w:eastAsia="仿宋" w:cs="仿宋"/>
          <w:color w:val="333333"/>
          <w:kern w:val="0"/>
          <w:sz w:val="32"/>
          <w:szCs w:val="32"/>
          <w:lang w:bidi="ar"/>
        </w:rPr>
      </w:pPr>
      <w:bookmarkStart w:id="794" w:name="_Toc27255"/>
      <w:bookmarkStart w:id="795" w:name="_Toc2191"/>
      <w:bookmarkStart w:id="796" w:name="_Toc1385"/>
      <w:bookmarkStart w:id="797" w:name="_Toc9973"/>
      <w:bookmarkStart w:id="798" w:name="_Toc10418"/>
      <w:r>
        <w:rPr>
          <w:rFonts w:hint="eastAsia" w:ascii="仿宋" w:hAnsi="仿宋" w:eastAsia="仿宋" w:cs="仿宋"/>
          <w:color w:val="333333"/>
          <w:kern w:val="0"/>
          <w:sz w:val="32"/>
          <w:szCs w:val="32"/>
          <w:lang w:bidi="ar"/>
        </w:rPr>
        <w:t>水文</w:t>
      </w:r>
      <w:bookmarkEnd w:id="794"/>
      <w:bookmarkEnd w:id="795"/>
      <w:bookmarkEnd w:id="796"/>
      <w:bookmarkEnd w:id="797"/>
      <w:bookmarkEnd w:id="798"/>
    </w:p>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地下水是城区的唯一水源。主要补给源是大青山山区降水入渗转化的地下水，由哈拉沁沟和乌素图沟两个冲积扇径流补给，形成自流盆地。潜水（即浅水层），埋深仅几米，多已污染。深层承压水埋深在60～125米之间，近年水位呈下降趋势。境内河道属黄河流域，主要河流有：大黑河，是黄河的支流，发源于乌兰察布市卓资县境内的十八台镇东躺子村南山顶，最终汇入托克托县黄河。大黑河流域面积为17673平方千米，河道长225.9千米，河道平均比降1.71‰。小黑河，是大黑河支流之一，发源于武川县阴山北麓安字号乡，最终汇入大黑河。河口以上沟长55.6千米，沟口以上流域面积为706平方千米。札达盖河，发源于武川县大青山乡五道沟村委会北偏东2.3千米大梁山，最终汇入小黑河。沟口以上流域面积为59.7平方千米，主河长21.1千米，河道平均比降为3.58%。乌素图沟，发源于武川县大青山乡四合义东北山顶，至章盖营村西从右侧汇入小黑河。沟口流域面积为170平方千米，主河长19.3千米，河道比降2.15%。</w:t>
      </w:r>
    </w:p>
    <w:p>
      <w:pPr>
        <w:spacing w:line="360" w:lineRule="auto"/>
        <w:ind w:firstLine="640" w:firstLineChars="200"/>
        <w:jc w:val="left"/>
        <w:rPr>
          <w:rFonts w:ascii="仿宋" w:hAnsi="仿宋" w:eastAsia="仿宋" w:cs="仿宋"/>
          <w:color w:val="333333"/>
          <w:kern w:val="0"/>
          <w:sz w:val="32"/>
          <w:szCs w:val="32"/>
          <w:lang w:bidi="ar"/>
        </w:rPr>
      </w:pPr>
      <w:bookmarkStart w:id="799" w:name="_Toc5487"/>
      <w:bookmarkStart w:id="800" w:name="_Toc30466"/>
      <w:bookmarkStart w:id="801" w:name="_Toc11660"/>
      <w:bookmarkStart w:id="802" w:name="_Toc6885"/>
      <w:bookmarkStart w:id="803" w:name="_Toc1694"/>
      <w:r>
        <w:rPr>
          <w:rFonts w:hint="eastAsia" w:ascii="仿宋" w:hAnsi="仿宋" w:eastAsia="仿宋" w:cs="仿宋"/>
          <w:color w:val="333333"/>
          <w:kern w:val="0"/>
          <w:sz w:val="32"/>
          <w:szCs w:val="32"/>
          <w:lang w:bidi="ar"/>
        </w:rPr>
        <w:t>消防</w:t>
      </w:r>
      <w:bookmarkEnd w:id="799"/>
      <w:bookmarkEnd w:id="800"/>
      <w:bookmarkEnd w:id="801"/>
      <w:bookmarkEnd w:id="802"/>
      <w:bookmarkEnd w:id="803"/>
    </w:p>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玉泉区消防救援大队，在区设立了3个消防救援站，人员60名。设有战斗班、通讯班等班组，配备执勤消防罐车、登高平台车，抢险救援车，水罐泡沫车等车辆。</w:t>
      </w:r>
    </w:p>
    <w:p>
      <w:pPr>
        <w:pStyle w:val="26"/>
        <w:ind w:firstLine="0"/>
        <w:rPr>
          <w:rFonts w:hAnsi="楷体" w:eastAsia="黑体" w:cs="Times New Roman"/>
          <w:kern w:val="2"/>
          <w:sz w:val="32"/>
          <w:szCs w:val="32"/>
          <w:lang w:eastAsia="zh-CN"/>
        </w:rPr>
      </w:pPr>
    </w:p>
    <w:p>
      <w:pPr>
        <w:pStyle w:val="26"/>
        <w:ind w:firstLine="0"/>
        <w:rPr>
          <w:rFonts w:hAnsi="楷体" w:eastAsia="黑体" w:cs="Times New Roman"/>
          <w:kern w:val="2"/>
          <w:sz w:val="32"/>
          <w:szCs w:val="32"/>
          <w:lang w:eastAsia="zh-CN"/>
        </w:rPr>
      </w:pPr>
    </w:p>
    <w:p>
      <w:pPr>
        <w:pStyle w:val="26"/>
        <w:ind w:firstLine="0"/>
        <w:rPr>
          <w:rFonts w:hAnsi="楷体" w:eastAsia="黑体" w:cs="Times New Roman"/>
          <w:kern w:val="2"/>
          <w:sz w:val="32"/>
          <w:szCs w:val="32"/>
          <w:lang w:eastAsia="zh-CN"/>
        </w:rPr>
      </w:pPr>
    </w:p>
    <w:p>
      <w:pPr>
        <w:pStyle w:val="26"/>
        <w:ind w:firstLine="0"/>
        <w:rPr>
          <w:rFonts w:hAnsi="楷体" w:eastAsia="黑体" w:cs="Times New Roman"/>
          <w:kern w:val="2"/>
          <w:sz w:val="32"/>
          <w:szCs w:val="32"/>
          <w:lang w:eastAsia="zh-CN"/>
        </w:rPr>
      </w:pPr>
    </w:p>
    <w:p>
      <w:pPr>
        <w:pStyle w:val="26"/>
        <w:numPr>
          <w:ilvl w:val="255"/>
          <w:numId w:val="0"/>
        </w:numPr>
        <w:rPr>
          <w:rFonts w:ascii="仿宋" w:hAnsi="仿宋" w:eastAsia="仿宋" w:cs="仿宋"/>
          <w:b/>
          <w:bCs/>
          <w:color w:val="333333"/>
          <w:sz w:val="32"/>
          <w:szCs w:val="32"/>
          <w:lang w:eastAsia="zh-CN" w:bidi="ar"/>
        </w:rPr>
      </w:pPr>
      <w:bookmarkStart w:id="804" w:name="_Toc12852"/>
      <w:bookmarkStart w:id="805" w:name="_Toc12820"/>
      <w:bookmarkStart w:id="806" w:name="_Toc22663"/>
      <w:bookmarkStart w:id="807" w:name="_Toc6258"/>
      <w:bookmarkStart w:id="808" w:name="_Toc25680"/>
      <w:bookmarkStart w:id="809" w:name="_Toc24087"/>
    </w:p>
    <w:p>
      <w:pPr>
        <w:pStyle w:val="26"/>
        <w:numPr>
          <w:ilvl w:val="255"/>
          <w:numId w:val="0"/>
        </w:numPr>
        <w:rPr>
          <w:rFonts w:ascii="仿宋" w:hAnsi="仿宋" w:eastAsia="仿宋" w:cs="仿宋"/>
          <w:b/>
          <w:bCs/>
          <w:color w:val="333333"/>
          <w:sz w:val="32"/>
          <w:szCs w:val="32"/>
          <w:lang w:eastAsia="zh-CN" w:bidi="ar"/>
        </w:rPr>
      </w:pPr>
    </w:p>
    <w:p>
      <w:pPr>
        <w:pStyle w:val="26"/>
        <w:numPr>
          <w:ilvl w:val="255"/>
          <w:numId w:val="0"/>
        </w:numPr>
        <w:rPr>
          <w:rFonts w:ascii="仿宋" w:hAnsi="仿宋" w:eastAsia="仿宋" w:cs="仿宋"/>
          <w:b/>
          <w:bCs/>
          <w:color w:val="333333"/>
          <w:sz w:val="32"/>
          <w:szCs w:val="32"/>
          <w:lang w:eastAsia="zh-CN" w:bidi="ar"/>
        </w:rPr>
      </w:pPr>
    </w:p>
    <w:p>
      <w:pPr>
        <w:rPr>
          <w:rFonts w:ascii="仿宋" w:hAnsi="仿宋" w:eastAsia="仿宋" w:cs="仿宋"/>
          <w:b/>
          <w:bCs/>
          <w:color w:val="333333"/>
          <w:sz w:val="32"/>
          <w:szCs w:val="32"/>
          <w:lang w:eastAsia="zh-CN" w:bidi="ar"/>
        </w:rPr>
      </w:pPr>
      <w:r>
        <w:rPr>
          <w:rFonts w:ascii="仿宋" w:hAnsi="仿宋" w:eastAsia="仿宋" w:cs="仿宋"/>
          <w:b/>
          <w:bCs/>
          <w:color w:val="333333"/>
          <w:sz w:val="32"/>
          <w:szCs w:val="32"/>
          <w:lang w:eastAsia="zh-CN" w:bidi="ar"/>
        </w:rPr>
        <w:br w:type="page"/>
      </w:r>
    </w:p>
    <w:p>
      <w:pPr>
        <w:pStyle w:val="4"/>
        <w:adjustRightInd w:val="0"/>
        <w:snapToGrid w:val="0"/>
        <w:spacing w:before="120" w:after="120" w:line="240" w:lineRule="auto"/>
        <w:ind w:firstLine="0" w:firstLineChars="0"/>
        <w:outlineLvl w:val="0"/>
        <w:rPr>
          <w:rFonts w:hint="eastAsia" w:ascii="仿宋" w:hAnsi="仿宋" w:eastAsia="仿宋" w:cs="仿宋"/>
          <w:b/>
        </w:rPr>
      </w:pPr>
      <w:bookmarkStart w:id="810" w:name="_Toc26744"/>
      <w:r>
        <w:rPr>
          <w:rFonts w:hint="eastAsia" w:ascii="仿宋" w:hAnsi="仿宋" w:eastAsia="仿宋" w:cs="仿宋"/>
          <w:b/>
        </w:rPr>
        <w:t>附件2：玉泉区危险化学品企业危险性分析</w:t>
      </w:r>
      <w:bookmarkEnd w:id="804"/>
      <w:bookmarkEnd w:id="805"/>
      <w:bookmarkEnd w:id="806"/>
      <w:bookmarkEnd w:id="810"/>
    </w:p>
    <w:bookmarkEnd w:id="807"/>
    <w:bookmarkEnd w:id="808"/>
    <w:bookmarkEnd w:id="809"/>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呼和浩特市玉泉区小黑河镇、大南街、小召、长和廊、兴隆巷、昭君路、鄂尔多斯路、西菜园、石东路，1个园区、1个镇和8个街道，辖50个行政村，60个社区居委会。</w:t>
      </w:r>
    </w:p>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危险化学品涉及生产、经营、运输、储存、使用和废弃物处置等各个环节。根据《危险货物品名表》（GB12268-2012）所列品种，玉泉区主要常用的危险化学品涉及爆炸品、压缩气体和液化气体、易燃液体、易燃固体、自燃物品和遇湿易燃物品、氧化剂和有机过氧化物、毒害品、腐蚀品七大类，约200多种，涉及到石化、化工、医药、公路、农业、研发等各个领域，及水陆运输、管道输送、储存等行业。</w:t>
      </w:r>
    </w:p>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危险化学品储存企业8家，加油站20家，专门仓储企业0家。涉及重点监管的危险工艺企业5家，生产装置21套；涉及重点监管的危险化学品企业6家；涉及危险化学品重大危险源企业17家，重大危险源31个。涉及化学品存储企业9家（1家为一般化工品储存），罐区27个，储罐648个，仓库10个。</w:t>
      </w:r>
    </w:p>
    <w:p>
      <w:pPr>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由于危险化学品的性质复杂以及具有易燃易爆、有毒有害的特点，使得在生产、运输、储存、经营、使用及废弃进行处理过程中，稍有不当或疏漏，就会引发泄漏、爆炸和火灾等连锁式事故，就会对人民生命、财产、生态环境和社会安定造成重大危害，后果会十分严重。</w:t>
      </w:r>
    </w:p>
    <w:bookmarkEnd w:id="785"/>
    <w:p>
      <w:pPr>
        <w:pStyle w:val="4"/>
        <w:adjustRightInd w:val="0"/>
        <w:snapToGrid w:val="0"/>
        <w:spacing w:before="120" w:after="120" w:line="240" w:lineRule="auto"/>
        <w:ind w:firstLine="0" w:firstLineChars="0"/>
        <w:outlineLvl w:val="0"/>
        <w:rPr>
          <w:rFonts w:hint="eastAsia" w:ascii="仿宋" w:hAnsi="仿宋" w:eastAsia="仿宋" w:cs="仿宋"/>
          <w:b/>
        </w:rPr>
      </w:pPr>
      <w:bookmarkStart w:id="811" w:name="_Toc4392"/>
      <w:bookmarkStart w:id="812" w:name="_Toc8135"/>
      <w:bookmarkStart w:id="813" w:name="_Toc30943"/>
      <w:bookmarkStart w:id="814" w:name="_Toc29121"/>
      <w:bookmarkStart w:id="815" w:name="_Toc8696"/>
      <w:bookmarkStart w:id="816" w:name="_Toc27995"/>
      <w:bookmarkStart w:id="817" w:name="_Toc20632"/>
      <w:r>
        <w:rPr>
          <w:rFonts w:hint="eastAsia" w:ascii="仿宋" w:hAnsi="仿宋" w:eastAsia="仿宋" w:cs="仿宋"/>
          <w:b/>
        </w:rPr>
        <w:t>附件3：</w:t>
      </w:r>
      <w:r>
        <w:rPr>
          <w:rFonts w:hint="eastAsia" w:ascii="仿宋" w:hAnsi="仿宋" w:eastAsia="仿宋" w:cs="仿宋"/>
          <w:b/>
          <w:sz w:val="28"/>
          <w:szCs w:val="28"/>
        </w:rPr>
        <w:t>玉泉区危险化学品生产安全事故应急处置工作流程图</w:t>
      </w:r>
      <w:bookmarkEnd w:id="811"/>
      <w:bookmarkEnd w:id="812"/>
      <w:bookmarkEnd w:id="813"/>
      <w:bookmarkEnd w:id="814"/>
    </w:p>
    <w:bookmarkEnd w:id="786"/>
    <w:bookmarkEnd w:id="787"/>
    <w:bookmarkEnd w:id="788"/>
    <w:bookmarkEnd w:id="789"/>
    <w:bookmarkEnd w:id="790"/>
    <w:bookmarkEnd w:id="791"/>
    <w:bookmarkEnd w:id="792"/>
    <w:bookmarkEnd w:id="793"/>
    <w:bookmarkEnd w:id="815"/>
    <w:bookmarkEnd w:id="816"/>
    <w:bookmarkEnd w:id="817"/>
    <w:p>
      <w:pPr>
        <w:jc w:val="center"/>
      </w:pPr>
      <w:bookmarkStart w:id="818" w:name="_Toc27745420"/>
      <w:bookmarkStart w:id="819" w:name="_Toc426382155"/>
      <w:r>
        <w:drawing>
          <wp:inline distT="0" distB="0" distL="114300" distR="114300">
            <wp:extent cx="5581015" cy="7037070"/>
            <wp:effectExtent l="0" t="0" r="12065" b="3810"/>
            <wp:docPr id="2" name="图片 1" descr="生产安全"/>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descr="生产安全"/>
                    <pic:cNvPicPr>
                      <a:picLocks noChangeAspect="true"/>
                    </pic:cNvPicPr>
                  </pic:nvPicPr>
                  <pic:blipFill>
                    <a:blip r:embed="rId11"/>
                    <a:stretch>
                      <a:fillRect/>
                    </a:stretch>
                  </pic:blipFill>
                  <pic:spPr>
                    <a:xfrm>
                      <a:off x="0" y="0"/>
                      <a:ext cx="5581015" cy="7037070"/>
                    </a:xfrm>
                    <a:prstGeom prst="rect">
                      <a:avLst/>
                    </a:prstGeom>
                    <a:noFill/>
                    <a:ln>
                      <a:noFill/>
                    </a:ln>
                  </pic:spPr>
                </pic:pic>
              </a:graphicData>
            </a:graphic>
          </wp:inline>
        </w:drawing>
      </w:r>
    </w:p>
    <w:p>
      <w:pPr>
        <w:pStyle w:val="26"/>
      </w:pPr>
    </w:p>
    <w:p>
      <w:pPr>
        <w:pStyle w:val="26"/>
        <w:numPr>
          <w:ilvl w:val="255"/>
          <w:numId w:val="0"/>
        </w:numPr>
        <w:rPr>
          <w:rFonts w:ascii="仿宋" w:hAnsi="仿宋" w:eastAsia="仿宋" w:cs="仿宋"/>
          <w:b/>
          <w:bCs/>
          <w:sz w:val="32"/>
          <w:szCs w:val="32"/>
          <w:lang w:eastAsia="zh-CN"/>
        </w:rPr>
      </w:pPr>
      <w:bookmarkStart w:id="820" w:name="_Toc22249"/>
      <w:bookmarkStart w:id="821" w:name="_Toc892"/>
      <w:bookmarkStart w:id="822" w:name="_Toc16016"/>
      <w:bookmarkStart w:id="823" w:name="_Toc28507"/>
      <w:bookmarkStart w:id="824" w:name="_Toc3364"/>
      <w:bookmarkStart w:id="825" w:name="_Toc15865"/>
      <w:bookmarkStart w:id="826" w:name="_Toc30102"/>
      <w:bookmarkStart w:id="827" w:name="_Toc2644"/>
    </w:p>
    <w:p>
      <w:pPr>
        <w:pStyle w:val="4"/>
        <w:adjustRightInd w:val="0"/>
        <w:snapToGrid w:val="0"/>
        <w:spacing w:before="120" w:after="120" w:line="240" w:lineRule="auto"/>
        <w:ind w:firstLine="0" w:firstLineChars="0"/>
        <w:outlineLvl w:val="0"/>
        <w:rPr>
          <w:rFonts w:hint="eastAsia" w:ascii="仿宋" w:hAnsi="仿宋" w:eastAsia="仿宋" w:cs="仿宋"/>
          <w:b/>
        </w:rPr>
      </w:pPr>
      <w:bookmarkStart w:id="828" w:name="_Toc24604"/>
      <w:r>
        <w:rPr>
          <w:rFonts w:hint="eastAsia" w:ascii="仿宋" w:hAnsi="仿宋" w:eastAsia="仿宋" w:cs="仿宋"/>
          <w:b/>
        </w:rPr>
        <w:t>附件4：玉泉区有关应急部门、机构或人员的联系方式</w:t>
      </w:r>
      <w:bookmarkEnd w:id="820"/>
      <w:bookmarkEnd w:id="821"/>
      <w:bookmarkEnd w:id="822"/>
      <w:bookmarkEnd w:id="823"/>
      <w:bookmarkEnd w:id="824"/>
      <w:bookmarkEnd w:id="825"/>
      <w:bookmarkEnd w:id="826"/>
      <w:bookmarkEnd w:id="827"/>
      <w:bookmarkEnd w:id="828"/>
    </w:p>
    <w:tbl>
      <w:tblPr>
        <w:tblStyle w:val="19"/>
        <w:tblW w:w="8438" w:type="dxa"/>
        <w:tblInd w:w="85" w:type="dxa"/>
        <w:tblLayout w:type="fixed"/>
        <w:tblCellMar>
          <w:top w:w="0" w:type="dxa"/>
          <w:left w:w="108" w:type="dxa"/>
          <w:bottom w:w="0" w:type="dxa"/>
          <w:right w:w="108" w:type="dxa"/>
        </w:tblCellMar>
      </w:tblPr>
      <w:tblGrid>
        <w:gridCol w:w="1609"/>
        <w:gridCol w:w="968"/>
        <w:gridCol w:w="5861"/>
      </w:tblGrid>
      <w:tr>
        <w:trPr>
          <w:trHeight w:val="1160" w:hRule="atLeast"/>
        </w:trPr>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应急指挥部职务</w:t>
            </w:r>
          </w:p>
        </w:tc>
        <w:tc>
          <w:tcPr>
            <w:tcW w:w="968" w:type="dxa"/>
            <w:tcBorders>
              <w:top w:val="single" w:color="000000" w:sz="4" w:space="0"/>
              <w:left w:val="single" w:color="000000" w:sz="4" w:space="0"/>
              <w:bottom w:val="single" w:color="000000" w:sz="4" w:space="0"/>
              <w:right w:val="nil"/>
            </w:tcBorders>
            <w:noWrap/>
            <w:vAlign w:val="center"/>
          </w:tcPr>
          <w:p>
            <w:pPr>
              <w:widowControl/>
              <w:spacing w:line="240" w:lineRule="auto"/>
              <w:ind w:firstLine="0" w:firstLineChars="0"/>
              <w:jc w:val="center"/>
              <w:textAlignment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姓名</w:t>
            </w:r>
          </w:p>
        </w:tc>
        <w:tc>
          <w:tcPr>
            <w:tcW w:w="5861"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单位及行政职务</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总指挥</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南 男</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区委副书记、区人民政府区长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副总指挥</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刘吉元</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区委常委、区人民政府常务副区长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温</w:t>
            </w:r>
            <w:r>
              <w:rPr>
                <w:rFonts w:hint="eastAsia" w:ascii="仿宋" w:hAnsi="仿宋" w:eastAsia="仿宋" w:cs="仿宋"/>
                <w:color w:val="000000"/>
                <w:kern w:val="0"/>
                <w:sz w:val="24"/>
                <w:highlight w:val="none"/>
                <w:lang w:val="en-US" w:eastAsia="zh-CN"/>
              </w:rPr>
              <w:t xml:space="preserve"> </w:t>
            </w:r>
            <w:r>
              <w:rPr>
                <w:rFonts w:hint="eastAsia" w:ascii="仿宋" w:hAnsi="仿宋" w:eastAsia="仿宋" w:cs="仿宋"/>
                <w:color w:val="000000"/>
                <w:kern w:val="0"/>
                <w:sz w:val="24"/>
                <w:highlight w:val="none"/>
              </w:rPr>
              <w:t>艳</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区人民政府副区长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杨德杰</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区人民政府副区长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朱文博</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区人民政府副区长、区公安分局局长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齐</w:t>
            </w:r>
            <w:r>
              <w:rPr>
                <w:rFonts w:hint="eastAsia" w:ascii="仿宋" w:hAnsi="仿宋" w:eastAsia="仿宋" w:cs="仿宋"/>
                <w:color w:val="000000"/>
                <w:kern w:val="0"/>
                <w:sz w:val="24"/>
                <w:highlight w:val="none"/>
                <w:lang w:val="en-US" w:eastAsia="zh-CN"/>
              </w:rPr>
              <w:t xml:space="preserve"> </w:t>
            </w:r>
            <w:r>
              <w:rPr>
                <w:rFonts w:hint="eastAsia" w:ascii="仿宋" w:hAnsi="仿宋" w:eastAsia="仿宋" w:cs="仿宋"/>
                <w:color w:val="000000"/>
                <w:kern w:val="0"/>
                <w:sz w:val="24"/>
                <w:highlight w:val="none"/>
              </w:rPr>
              <w:t>敏</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区委办公室主任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朱朝峰</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区政府办公室主任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李官军</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区应急管理局局长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石 爽</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区消防大队大队长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姜丞曜</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区农牧和科技局局长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赵世英</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区林业和草原分局局长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田金有</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区委宣传部副部长、网信办主任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李赞峰</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区财政局局长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贺瑞军</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区发展改革委主任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郝丽丽</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区教育局局长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杨文波</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区工业和信息化局局长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吴建军  </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区民政局局长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崔  晶</w:t>
            </w:r>
          </w:p>
        </w:tc>
        <w:tc>
          <w:tcPr>
            <w:tcW w:w="586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区司法局局长</w:t>
            </w:r>
          </w:p>
        </w:tc>
      </w:tr>
      <w:tr>
        <w:tblPrEx>
          <w:tblCellMar>
            <w:top w:w="0" w:type="dxa"/>
            <w:left w:w="108" w:type="dxa"/>
            <w:bottom w:w="0" w:type="dxa"/>
            <w:right w:w="108" w:type="dxa"/>
          </w:tblCellMar>
        </w:tblPrEx>
        <w:trPr>
          <w:trHeight w:val="600" w:hRule="atLeast"/>
        </w:trPr>
        <w:tc>
          <w:tcPr>
            <w:tcW w:w="1609" w:type="dxa"/>
            <w:tcBorders>
              <w:top w:val="single" w:color="auto" w:sz="4" w:space="0"/>
              <w:left w:val="single" w:color="auto"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云建平 </w:t>
            </w:r>
          </w:p>
        </w:tc>
        <w:tc>
          <w:tcPr>
            <w:tcW w:w="5861" w:type="dxa"/>
            <w:tcBorders>
              <w:top w:val="single" w:color="auto" w:sz="4" w:space="0"/>
              <w:left w:val="single" w:color="000000" w:sz="4" w:space="0"/>
              <w:bottom w:val="single" w:color="auto" w:sz="4" w:space="0"/>
              <w:right w:val="single" w:color="auto"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区文体旅游</w:t>
            </w:r>
            <w:r>
              <w:rPr>
                <w:rFonts w:hint="eastAsia" w:ascii="仿宋" w:hAnsi="仿宋" w:eastAsia="仿宋" w:cs="仿宋"/>
                <w:color w:val="000000"/>
                <w:kern w:val="0"/>
                <w:sz w:val="24"/>
                <w:highlight w:val="none"/>
                <w:lang w:val="en-US" w:eastAsia="zh-CN"/>
              </w:rPr>
              <w:t>广电</w:t>
            </w:r>
            <w:r>
              <w:rPr>
                <w:rFonts w:hint="eastAsia" w:ascii="仿宋" w:hAnsi="仿宋" w:eastAsia="仿宋" w:cs="仿宋"/>
                <w:color w:val="000000"/>
                <w:kern w:val="0"/>
                <w:sz w:val="24"/>
                <w:highlight w:val="none"/>
              </w:rPr>
              <w:t>局局长</w:t>
            </w:r>
          </w:p>
        </w:tc>
      </w:tr>
      <w:tr>
        <w:tblPrEx>
          <w:tblCellMar>
            <w:top w:w="0" w:type="dxa"/>
            <w:left w:w="108" w:type="dxa"/>
            <w:bottom w:w="0" w:type="dxa"/>
            <w:right w:w="108" w:type="dxa"/>
          </w:tblCellMar>
        </w:tblPrEx>
        <w:trPr>
          <w:trHeight w:val="600" w:hRule="atLeast"/>
        </w:trPr>
        <w:tc>
          <w:tcPr>
            <w:tcW w:w="1609" w:type="dxa"/>
            <w:tcBorders>
              <w:top w:val="single" w:color="auto"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吴志刚  </w:t>
            </w:r>
          </w:p>
        </w:tc>
        <w:tc>
          <w:tcPr>
            <w:tcW w:w="5861"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区卫生健康委员会主任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董向阳 </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区城管执法局局长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马新龙 </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区生态环境分局局长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451"/>
              </w:tabs>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杜英华</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rPr>
              <w:t>区自然资源分局</w:t>
            </w:r>
            <w:r>
              <w:rPr>
                <w:rFonts w:hint="eastAsia" w:ascii="仿宋" w:hAnsi="仿宋" w:eastAsia="仿宋" w:cs="仿宋"/>
                <w:color w:val="000000"/>
                <w:kern w:val="0"/>
                <w:sz w:val="24"/>
                <w:highlight w:val="none"/>
                <w:lang w:val="en-US" w:eastAsia="zh-CN"/>
              </w:rPr>
              <w:t>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郭月旺</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区公安分局副局长</w:t>
            </w:r>
          </w:p>
        </w:tc>
      </w:tr>
      <w:tr>
        <w:tblPrEx>
          <w:tblCellMar>
            <w:top w:w="0" w:type="dxa"/>
            <w:left w:w="108" w:type="dxa"/>
            <w:bottom w:w="0" w:type="dxa"/>
            <w:right w:w="108" w:type="dxa"/>
          </w:tblCellMar>
        </w:tblPrEx>
        <w:trPr>
          <w:trHeight w:val="602"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呼日查</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区人民法院审判委员会专职委员</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武  强</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区人民检察院副检察长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荣晓霞</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区人社局局长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王晨杰</w:t>
            </w:r>
            <w:r>
              <w:rPr>
                <w:rFonts w:hint="eastAsia" w:ascii="仿宋" w:hAnsi="仿宋" w:eastAsia="仿宋" w:cs="仿宋"/>
                <w:color w:val="000000"/>
                <w:kern w:val="0"/>
                <w:sz w:val="24"/>
                <w:highlight w:val="none"/>
              </w:rPr>
              <w:t xml:space="preserve"> </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区审计局局长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李 璐 </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仿宋" w:hAnsi="仿宋" w:eastAsia="仿宋" w:cs="仿宋"/>
                <w:color w:val="000000"/>
                <w:kern w:val="0"/>
                <w:sz w:val="24"/>
                <w:highlight w:val="none"/>
                <w:lang w:val="en-US"/>
              </w:rPr>
            </w:pPr>
            <w:r>
              <w:rPr>
                <w:rFonts w:hint="eastAsia" w:ascii="仿宋" w:hAnsi="仿宋" w:eastAsia="仿宋" w:cs="仿宋"/>
                <w:color w:val="000000"/>
                <w:kern w:val="0"/>
                <w:sz w:val="24"/>
                <w:highlight w:val="none"/>
                <w:lang w:val="en-US" w:eastAsia="zh-CN"/>
              </w:rPr>
              <w:t>区统计局局长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val="en-US" w:eastAsia="zh-CN"/>
              </w:rPr>
              <w:t>安跃东</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供电分局局长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韩小平</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市交通运输综合执法支队执</w:t>
            </w:r>
          </w:p>
          <w:p>
            <w:pPr>
              <w:widowControl/>
              <w:spacing w:line="240" w:lineRule="auto"/>
              <w:ind w:firstLine="0" w:firstLineChars="0"/>
              <w:jc w:val="center"/>
              <w:textAlignment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rPr>
              <w:t>法三</w:t>
            </w:r>
            <w:r>
              <w:rPr>
                <w:rFonts w:hint="eastAsia" w:ascii="仿宋" w:hAnsi="仿宋" w:eastAsia="仿宋" w:cs="仿宋"/>
                <w:color w:val="000000"/>
                <w:kern w:val="0"/>
                <w:sz w:val="24"/>
                <w:highlight w:val="none"/>
                <w:lang w:val="en-US" w:eastAsia="zh-CN"/>
              </w:rPr>
              <w:t>大</w:t>
            </w:r>
            <w:r>
              <w:rPr>
                <w:rFonts w:hint="eastAsia" w:ascii="仿宋" w:hAnsi="仿宋" w:eastAsia="仿宋" w:cs="仿宋"/>
                <w:color w:val="000000"/>
                <w:kern w:val="0"/>
                <w:sz w:val="24"/>
                <w:highlight w:val="none"/>
              </w:rPr>
              <w:t>队</w:t>
            </w:r>
            <w:r>
              <w:rPr>
                <w:rFonts w:hint="eastAsia" w:ascii="仿宋" w:hAnsi="仿宋" w:eastAsia="仿宋" w:cs="仿宋"/>
                <w:color w:val="000000"/>
                <w:kern w:val="0"/>
                <w:sz w:val="24"/>
                <w:highlight w:val="none"/>
                <w:lang w:val="en-US" w:eastAsia="zh-CN"/>
              </w:rPr>
              <w:t>队长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李和平</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区水务局局长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孟志毅</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区</w:t>
            </w:r>
            <w:r>
              <w:rPr>
                <w:rFonts w:hint="eastAsia" w:ascii="仿宋" w:hAnsi="仿宋" w:eastAsia="仿宋" w:cs="仿宋"/>
                <w:color w:val="000000"/>
                <w:kern w:val="0"/>
                <w:sz w:val="24"/>
                <w:highlight w:val="none"/>
              </w:rPr>
              <w:t>市场监督管理局局长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武 军</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区住房和城乡建设局副局长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贺瑞军</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仿宋" w:hAnsi="仿宋" w:eastAsia="仿宋" w:cs="仿宋"/>
                <w:color w:val="000000"/>
                <w:kern w:val="0"/>
                <w:sz w:val="24"/>
                <w:highlight w:val="none"/>
                <w:lang w:val="en-US"/>
              </w:rPr>
            </w:pPr>
            <w:r>
              <w:rPr>
                <w:rFonts w:hint="eastAsia" w:ascii="仿宋" w:hAnsi="仿宋" w:eastAsia="仿宋" w:cs="仿宋"/>
                <w:color w:val="000000"/>
                <w:kern w:val="0"/>
                <w:sz w:val="24"/>
                <w:highlight w:val="none"/>
                <w:lang w:val="en-US" w:eastAsia="zh-CN"/>
              </w:rPr>
              <w:t>区国动办主任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李正禄</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区红十字会常务副会长</w:t>
            </w:r>
          </w:p>
        </w:tc>
      </w:tr>
      <w:tr>
        <w:tblPrEx>
          <w:tblCellMar>
            <w:top w:w="0" w:type="dxa"/>
            <w:left w:w="108" w:type="dxa"/>
            <w:bottom w:w="0" w:type="dxa"/>
            <w:right w:w="108" w:type="dxa"/>
          </w:tblCellMar>
        </w:tblPrEx>
        <w:trPr>
          <w:trHeight w:val="600" w:hRule="atLeast"/>
        </w:trPr>
        <w:tc>
          <w:tcPr>
            <w:tcW w:w="1609" w:type="dxa"/>
            <w:tcBorders>
              <w:top w:val="single" w:color="auto" w:sz="4" w:space="0"/>
              <w:left w:val="single" w:color="auto"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auto" w:sz="4" w:space="0"/>
              <w:left w:val="single" w:color="000000" w:sz="4" w:space="0"/>
              <w:bottom w:val="single" w:color="auto" w:sz="4" w:space="0"/>
              <w:right w:val="single" w:color="auto"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王云柱</w:t>
            </w:r>
          </w:p>
        </w:tc>
        <w:tc>
          <w:tcPr>
            <w:tcW w:w="586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小黑河镇镇长</w:t>
            </w:r>
          </w:p>
        </w:tc>
      </w:tr>
      <w:tr>
        <w:tblPrEx>
          <w:tblCellMar>
            <w:top w:w="0" w:type="dxa"/>
            <w:left w:w="108" w:type="dxa"/>
            <w:bottom w:w="0" w:type="dxa"/>
            <w:right w:w="108" w:type="dxa"/>
          </w:tblCellMar>
        </w:tblPrEx>
        <w:trPr>
          <w:trHeight w:val="600" w:hRule="atLeast"/>
        </w:trPr>
        <w:tc>
          <w:tcPr>
            <w:tcW w:w="1609" w:type="dxa"/>
            <w:tcBorders>
              <w:top w:val="single" w:color="auto"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段海林</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昭君路街道办事处主任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毕胜文</w:t>
            </w:r>
          </w:p>
        </w:tc>
        <w:tc>
          <w:tcPr>
            <w:tcW w:w="58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西菜园街道办事处主任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val="en-US" w:eastAsia="zh-CN"/>
              </w:rPr>
              <w:t>付占华</w:t>
            </w:r>
          </w:p>
        </w:tc>
        <w:tc>
          <w:tcPr>
            <w:tcW w:w="586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鄂尔多斯路街道办事处主任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高德华</w:t>
            </w:r>
          </w:p>
        </w:tc>
        <w:tc>
          <w:tcPr>
            <w:tcW w:w="586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大南街街道办事处主任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韩  磊</w:t>
            </w:r>
          </w:p>
        </w:tc>
        <w:tc>
          <w:tcPr>
            <w:tcW w:w="586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石东路街道办事处主任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郭俊峰</w:t>
            </w:r>
          </w:p>
        </w:tc>
        <w:tc>
          <w:tcPr>
            <w:tcW w:w="586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ascii="仿宋" w:hAnsi="仿宋" w:eastAsia="仿宋" w:cs="仿宋"/>
                <w:color w:val="000000"/>
                <w:kern w:val="0"/>
                <w:sz w:val="24"/>
                <w:highlight w:val="none"/>
              </w:rPr>
              <w:t>小召前街街道</w:t>
            </w:r>
            <w:r>
              <w:rPr>
                <w:rFonts w:hint="eastAsia" w:ascii="仿宋" w:hAnsi="仿宋" w:eastAsia="仿宋" w:cs="仿宋"/>
                <w:color w:val="000000"/>
                <w:kern w:val="0"/>
                <w:sz w:val="24"/>
                <w:highlight w:val="none"/>
              </w:rPr>
              <w:t>办事处主任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吉  涛</w:t>
            </w:r>
          </w:p>
        </w:tc>
        <w:tc>
          <w:tcPr>
            <w:tcW w:w="586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长和廊街道办事处主任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李锦文</w:t>
            </w:r>
          </w:p>
        </w:tc>
        <w:tc>
          <w:tcPr>
            <w:tcW w:w="586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兴隆巷街道办事处主任</w:t>
            </w:r>
          </w:p>
        </w:tc>
      </w:tr>
      <w:tr>
        <w:tblPrEx>
          <w:tblCellMar>
            <w:top w:w="0" w:type="dxa"/>
            <w:left w:w="108" w:type="dxa"/>
            <w:bottom w:w="0" w:type="dxa"/>
            <w:right w:w="108" w:type="dxa"/>
          </w:tblCellMar>
        </w:tblPrEx>
        <w:trPr>
          <w:trHeight w:val="600" w:hRule="atLeast"/>
        </w:trPr>
        <w:tc>
          <w:tcPr>
            <w:tcW w:w="1609" w:type="dxa"/>
            <w:tcBorders>
              <w:top w:val="single" w:color="auto" w:sz="4" w:space="0"/>
              <w:left w:val="single" w:color="auto"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auto" w:sz="4" w:space="0"/>
              <w:left w:val="single" w:color="000000" w:sz="4" w:space="0"/>
              <w:bottom w:val="single" w:color="auto" w:sz="4" w:space="0"/>
              <w:right w:val="nil"/>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巴特尔</w:t>
            </w:r>
          </w:p>
        </w:tc>
        <w:tc>
          <w:tcPr>
            <w:tcW w:w="5861"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云中路区域服务中心主任</w:t>
            </w:r>
          </w:p>
        </w:tc>
      </w:tr>
    </w:tbl>
    <w:p>
      <w:pPr>
        <w:rPr>
          <w:rFonts w:ascii="仿宋_GB2312" w:hAnsi="仿宋_GB2312" w:eastAsia="仿宋_GB2312" w:cs="仿宋_GB2312"/>
          <w:sz w:val="32"/>
          <w:szCs w:val="32"/>
        </w:rPr>
      </w:pPr>
    </w:p>
    <w:p>
      <w:pPr>
        <w:jc w:val="center"/>
      </w:pPr>
    </w:p>
    <w:p>
      <w:pPr>
        <w:pStyle w:val="18"/>
      </w:pPr>
    </w:p>
    <w:p>
      <w:pPr>
        <w:pStyle w:val="17"/>
        <w:ind w:firstLine="420"/>
      </w:pPr>
    </w:p>
    <w:p/>
    <w:p>
      <w:pPr>
        <w:pStyle w:val="18"/>
      </w:pPr>
    </w:p>
    <w:p>
      <w:pPr>
        <w:pStyle w:val="17"/>
        <w:ind w:firstLine="420"/>
      </w:pPr>
    </w:p>
    <w:p/>
    <w:p>
      <w:pPr>
        <w:pStyle w:val="18"/>
      </w:pPr>
    </w:p>
    <w:p>
      <w:pPr>
        <w:pStyle w:val="17"/>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17"/>
        <w:ind w:firstLine="420"/>
      </w:pPr>
    </w:p>
    <w:p/>
    <w:p>
      <w:pPr>
        <w:pStyle w:val="18"/>
      </w:pPr>
    </w:p>
    <w:p>
      <w:pPr>
        <w:pStyle w:val="4"/>
        <w:adjustRightInd w:val="0"/>
        <w:snapToGrid w:val="0"/>
        <w:spacing w:before="120" w:after="120" w:line="240" w:lineRule="auto"/>
        <w:ind w:firstLine="0" w:firstLineChars="0"/>
        <w:outlineLvl w:val="0"/>
        <w:rPr>
          <w:rFonts w:hint="eastAsia" w:ascii="仿宋" w:hAnsi="仿宋" w:eastAsia="仿宋" w:cs="仿宋"/>
          <w:b/>
        </w:rPr>
      </w:pPr>
      <w:bookmarkStart w:id="829" w:name="_Toc14631"/>
      <w:bookmarkStart w:id="830" w:name="_Toc19408"/>
      <w:bookmarkStart w:id="831" w:name="_Toc16727"/>
      <w:bookmarkStart w:id="832" w:name="_Toc23521"/>
      <w:bookmarkStart w:id="833" w:name="_Toc9464"/>
      <w:r>
        <w:rPr>
          <w:rFonts w:hint="eastAsia" w:ascii="仿宋" w:hAnsi="仿宋" w:eastAsia="仿宋" w:cs="仿宋"/>
          <w:b/>
        </w:rPr>
        <w:t>附件5：玉泉区应急有关部门联系方式</w:t>
      </w:r>
      <w:bookmarkEnd w:id="829"/>
      <w:bookmarkEnd w:id="830"/>
      <w:bookmarkEnd w:id="831"/>
      <w:bookmarkEnd w:id="832"/>
      <w:bookmarkEnd w:id="833"/>
    </w:p>
    <w:tbl>
      <w:tblPr>
        <w:tblStyle w:val="19"/>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9"/>
        <w:gridCol w:w="2761"/>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名   称</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联系电话</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内蒙古应急指挥中心</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0471-4826031</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内蒙古应急指挥部危险化学品指挥部</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0471-4825125</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呼和浩特市总值班室</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0471-4606538</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呼和浩特市应急管理局</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0471-5169922</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玉泉区政府值班室</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0471-5200947</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玉泉区应急管理局</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0471-3825093</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呼和浩特市中燃城市发展有限公司</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w:t>
            </w:r>
            <w:r>
              <w:rPr>
                <w:rFonts w:ascii="仿宋" w:hAnsi="仿宋" w:eastAsia="仿宋" w:cs="仿宋"/>
                <w:color w:val="000000"/>
                <w:kern w:val="0"/>
                <w:sz w:val="24"/>
              </w:rPr>
              <w:t>3248119</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公安</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110</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燃气抢险</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96707</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供电抢修</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96266</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供水抢修</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95598</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交警部门</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122</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消防部门</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119</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呼和浩特市第一医院</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0471-5281236</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玉泉区红十字医院</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0471-6305311</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武警医院</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0471-3326500</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内蒙古人民医院</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0471-3283999</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解放军969医院</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0471-3495006</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bl>
    <w:p>
      <w:pPr>
        <w:pStyle w:val="26"/>
        <w:ind w:firstLine="0"/>
      </w:pPr>
    </w:p>
    <w:p>
      <w:pPr>
        <w:pStyle w:val="26"/>
        <w:ind w:firstLine="0"/>
      </w:pPr>
    </w:p>
    <w:p>
      <w:pPr>
        <w:pStyle w:val="26"/>
        <w:ind w:firstLine="0"/>
        <w:rPr>
          <w:b/>
          <w:bCs/>
          <w:lang w:eastAsia="zh-CN"/>
        </w:rPr>
      </w:pPr>
      <w:bookmarkStart w:id="834" w:name="_Toc30532"/>
      <w:bookmarkStart w:id="835" w:name="_Toc25423"/>
      <w:bookmarkStart w:id="836" w:name="_Toc17156"/>
    </w:p>
    <w:p>
      <w:pPr>
        <w:pStyle w:val="26"/>
        <w:ind w:firstLine="0"/>
        <w:rPr>
          <w:b/>
          <w:bCs/>
          <w:lang w:eastAsia="zh-CN"/>
        </w:rPr>
      </w:pPr>
    </w:p>
    <w:p>
      <w:pPr>
        <w:pStyle w:val="4"/>
        <w:adjustRightInd w:val="0"/>
        <w:snapToGrid w:val="0"/>
        <w:spacing w:before="120" w:after="120" w:line="240" w:lineRule="auto"/>
        <w:ind w:firstLine="0" w:firstLineChars="0"/>
        <w:outlineLvl w:val="0"/>
        <w:rPr>
          <w:rFonts w:hint="eastAsia" w:ascii="仿宋" w:hAnsi="仿宋" w:eastAsia="仿宋" w:cs="仿宋"/>
          <w:b/>
        </w:rPr>
      </w:pPr>
      <w:bookmarkStart w:id="837" w:name="_Toc30701"/>
      <w:r>
        <w:rPr>
          <w:rFonts w:hint="eastAsia" w:ascii="仿宋" w:hAnsi="仿宋" w:eastAsia="仿宋" w:cs="仿宋"/>
          <w:b/>
        </w:rPr>
        <w:t>附件6：</w:t>
      </w:r>
      <w:bookmarkEnd w:id="834"/>
      <w:bookmarkEnd w:id="835"/>
      <w:bookmarkEnd w:id="836"/>
      <w:bookmarkStart w:id="838" w:name="_Toc10986"/>
      <w:bookmarkStart w:id="839" w:name="_Toc325"/>
      <w:bookmarkStart w:id="840" w:name="_Toc11252"/>
      <w:r>
        <w:rPr>
          <w:rFonts w:hint="eastAsia" w:ascii="仿宋" w:hAnsi="仿宋" w:eastAsia="仿宋" w:cs="仿宋"/>
          <w:b/>
        </w:rPr>
        <w:t>玉泉区应急救援装备配置表</w:t>
      </w:r>
      <w:bookmarkEnd w:id="837"/>
      <w:bookmarkEnd w:id="838"/>
      <w:bookmarkEnd w:id="839"/>
      <w:bookmarkEnd w:id="840"/>
    </w:p>
    <w:p>
      <w:pPr>
        <w:widowControl/>
        <w:jc w:val="center"/>
        <w:textAlignment w:val="center"/>
        <w:rPr>
          <w:rFonts w:ascii="仿宋" w:hAnsi="仿宋" w:eastAsia="仿宋" w:cs="仿宋"/>
          <w:b/>
          <w:bCs/>
          <w:color w:val="000000"/>
          <w:kern w:val="0"/>
          <w:sz w:val="24"/>
        </w:rPr>
      </w:pPr>
      <w:bookmarkStart w:id="841" w:name="_Toc22288"/>
      <w:bookmarkStart w:id="842" w:name="_Toc8073"/>
      <w:bookmarkStart w:id="843" w:name="_Toc6614"/>
      <w:r>
        <w:rPr>
          <w:rFonts w:hint="eastAsia" w:ascii="仿宋" w:hAnsi="仿宋" w:eastAsia="仿宋" w:cs="仿宋"/>
          <w:b/>
          <w:bCs/>
          <w:color w:val="000000"/>
          <w:kern w:val="0"/>
          <w:sz w:val="24"/>
        </w:rPr>
        <w:t>存放地点：玉泉区消防救援队</w:t>
      </w:r>
      <w:bookmarkEnd w:id="841"/>
      <w:r>
        <w:rPr>
          <w:rFonts w:hint="eastAsia" w:ascii="仿宋" w:hAnsi="仿宋" w:eastAsia="仿宋" w:cs="仿宋"/>
          <w:b/>
          <w:bCs/>
          <w:color w:val="000000"/>
          <w:kern w:val="0"/>
          <w:sz w:val="24"/>
        </w:rPr>
        <w:t xml:space="preserve">         调运人：</w:t>
      </w:r>
      <w:bookmarkEnd w:id="842"/>
      <w:bookmarkEnd w:id="843"/>
      <w:r>
        <w:rPr>
          <w:rFonts w:hint="eastAsia" w:ascii="仿宋" w:hAnsi="仿宋" w:eastAsia="仿宋" w:cs="仿宋"/>
          <w:b/>
          <w:bCs/>
          <w:color w:val="000000"/>
          <w:kern w:val="0"/>
          <w:sz w:val="24"/>
        </w:rPr>
        <w:t>石爽</w:t>
      </w:r>
    </w:p>
    <w:tbl>
      <w:tblPr>
        <w:tblStyle w:val="19"/>
        <w:tblW w:w="8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431"/>
        <w:gridCol w:w="2865"/>
        <w:gridCol w:w="11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tblHeader/>
          <w:jc w:val="center"/>
        </w:trPr>
        <w:tc>
          <w:tcPr>
            <w:tcW w:w="4431" w:type="dxa"/>
            <w:noWrap/>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装备名称（型号）</w:t>
            </w:r>
          </w:p>
        </w:tc>
        <w:tc>
          <w:tcPr>
            <w:tcW w:w="2865" w:type="dxa"/>
            <w:noWrap/>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装备数量</w:t>
            </w:r>
          </w:p>
        </w:tc>
        <w:tc>
          <w:tcPr>
            <w:tcW w:w="1157" w:type="dxa"/>
            <w:noWrap/>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90"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水罐消防车</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7"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泡沫消防车</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90"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举高消防车</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灭火救援手套</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135</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抢险救援手套</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21</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抢险救援头盔</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31</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佩戴式防爆照明灯（HBS4403）</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46</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空气呼吸器（PHZKF-6.8/30）</w:t>
            </w:r>
          </w:p>
        </w:tc>
        <w:tc>
          <w:tcPr>
            <w:tcW w:w="2865"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51</w:t>
            </w:r>
          </w:p>
        </w:tc>
        <w:tc>
          <w:tcPr>
            <w:tcW w:w="1157"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抢险救援腰带</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方位灯</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29</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阻燃头套</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118</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灭火防护服</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57</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抢险救援靴</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绝缘靴</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16</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抢险救援服</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43</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安全绳</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72</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护目镜</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腰斧</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58</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护膝</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呼救器</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59</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灭火救援靴</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96（黑）66（黄）66</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灭火救援头盔</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63</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灭火救援腰带</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59</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防静电内衣</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66</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8453" w:type="dxa"/>
            <w:gridSpan w:val="3"/>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b/>
                <w:bCs/>
                <w:color w:val="000000"/>
                <w:kern w:val="0"/>
                <w:sz w:val="24"/>
              </w:rPr>
              <w:t>侦检器材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有毒气体探测仪(多功能6合一)</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可燃气体检测仪</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红外热象仪</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漏电探测仪</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测温仪</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8453" w:type="dxa"/>
            <w:gridSpan w:val="3"/>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b/>
                <w:bCs/>
                <w:color w:val="000000"/>
                <w:kern w:val="0"/>
                <w:sz w:val="24"/>
              </w:rPr>
              <w:t>警戒器材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警戒杆</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隔离警示带</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危险警示牌</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闪光警示灯</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8453" w:type="dxa"/>
            <w:gridSpan w:val="3"/>
            <w:noWrap/>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救生器材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自救呼吸器</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救生照明线</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折叠式担架</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多功能担架</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救生气垫</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缓降器</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急救箱</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起重气垫</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救援三角架</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救生抛投器</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水面漂浮绳</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橡皮舟</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8453" w:type="dxa"/>
            <w:gridSpan w:val="3"/>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b/>
                <w:bCs/>
                <w:color w:val="000000"/>
                <w:kern w:val="0"/>
                <w:sz w:val="24"/>
              </w:rPr>
              <w:t>破拆器材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液压破拆工具组</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万向剪切钳</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机动链锯</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无齿锯</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手持式钢筋速断器</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混凝土液压破拆工具组</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手动破拆工具组</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毁锁器</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多功能挠钩</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绝缘剪断钳</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8453" w:type="dxa"/>
            <w:gridSpan w:val="3"/>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b/>
                <w:bCs/>
                <w:color w:val="000000"/>
                <w:kern w:val="0"/>
                <w:sz w:val="24"/>
              </w:rPr>
              <w:t>堵漏器材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金属套管堵漏器</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注入式堵漏</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黏贴式堵漏</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木质堵漏</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无火花工具</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8453" w:type="dxa"/>
            <w:gridSpan w:val="3"/>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b/>
                <w:bCs/>
                <w:color w:val="000000"/>
                <w:kern w:val="0"/>
                <w:sz w:val="24"/>
              </w:rPr>
              <w:t>照明排烟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水驱动排烟机</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移动式排烟机</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移动照明灯组</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8453" w:type="dxa"/>
            <w:gridSpan w:val="3"/>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b/>
                <w:bCs/>
                <w:color w:val="000000"/>
                <w:kern w:val="0"/>
                <w:sz w:val="24"/>
              </w:rPr>
              <w:t>特种防护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隔热服</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13</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避火服</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二级化学防护服</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一级化学防护服</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电绝缘装具</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防静电服</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内置纯棉手套</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防高温手套</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防化手套</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二类吊带</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14</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三类吊带</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14</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防坠落辅助部件</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移动供气源</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正压式氧气呼吸器</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专用救生衣</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25</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手提式强光照明灯</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降温背心</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荧光棒</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后场接收装具</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头骨振动通信装具</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防爆手持电台</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8453" w:type="dxa"/>
            <w:gridSpan w:val="3"/>
            <w:noWrap/>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其他器材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水幕水带</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多功能水枪</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消防水带（65毫米）</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61</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消防水带（80毫米）</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82</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移动消防炮</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直流开关水枪</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14</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无后座力水枪</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自卫水枪</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分水器</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手提式风力灭火机</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背负式风机</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灭火弹</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二号工具</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14</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三号工具</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点火器</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墙角保护器</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移动式水带槽</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泡沫比例混合器</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二节拉梯</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1157"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431"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单杠梯</w:t>
            </w:r>
          </w:p>
        </w:tc>
        <w:tc>
          <w:tcPr>
            <w:tcW w:w="2865"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1157" w:type="dxa"/>
            <w:noWrap/>
            <w:vAlign w:val="center"/>
          </w:tcPr>
          <w:p>
            <w:pPr>
              <w:widowControl/>
              <w:jc w:val="center"/>
              <w:textAlignment w:val="center"/>
              <w:rPr>
                <w:rFonts w:ascii="仿宋" w:hAnsi="仿宋" w:eastAsia="仿宋" w:cs="仿宋"/>
                <w:color w:val="000000"/>
                <w:kern w:val="0"/>
                <w:sz w:val="24"/>
              </w:rPr>
            </w:pPr>
          </w:p>
        </w:tc>
      </w:tr>
    </w:tbl>
    <w:p>
      <w:pPr>
        <w:pStyle w:val="26"/>
        <w:ind w:firstLine="0"/>
        <w:rPr>
          <w:rFonts w:ascii="仿宋" w:hAnsi="仿宋" w:eastAsia="仿宋" w:cs="仿宋"/>
          <w:sz w:val="32"/>
          <w:szCs w:val="32"/>
          <w:lang w:eastAsia="zh-CN"/>
        </w:rPr>
      </w:pPr>
    </w:p>
    <w:p>
      <w:pPr>
        <w:pStyle w:val="26"/>
        <w:ind w:firstLine="0"/>
        <w:rPr>
          <w:rFonts w:ascii="仿宋" w:hAnsi="仿宋" w:eastAsia="仿宋" w:cs="仿宋"/>
          <w:sz w:val="32"/>
          <w:szCs w:val="32"/>
          <w:lang w:eastAsia="zh-CN"/>
        </w:rPr>
      </w:pPr>
    </w:p>
    <w:p>
      <w:pPr>
        <w:pStyle w:val="4"/>
        <w:adjustRightInd w:val="0"/>
        <w:snapToGrid w:val="0"/>
        <w:spacing w:before="120" w:after="120" w:line="240" w:lineRule="auto"/>
        <w:ind w:firstLine="0" w:firstLineChars="0"/>
        <w:outlineLvl w:val="0"/>
        <w:rPr>
          <w:rFonts w:hint="eastAsia" w:ascii="仿宋" w:hAnsi="仿宋" w:eastAsia="仿宋" w:cs="仿宋"/>
          <w:b/>
        </w:rPr>
      </w:pPr>
      <w:bookmarkStart w:id="844" w:name="_Toc26570"/>
      <w:bookmarkStart w:id="845" w:name="_Toc24665"/>
      <w:bookmarkStart w:id="846" w:name="_Toc6326"/>
      <w:bookmarkStart w:id="847" w:name="_Toc11201"/>
      <w:r>
        <w:rPr>
          <w:rFonts w:hint="eastAsia" w:ascii="仿宋" w:hAnsi="仿宋" w:eastAsia="仿宋" w:cs="仿宋"/>
          <w:b/>
        </w:rPr>
        <w:t>附件7：玉泉区应急救援队大应急救援装备配置表</w:t>
      </w:r>
      <w:bookmarkEnd w:id="844"/>
      <w:bookmarkEnd w:id="845"/>
      <w:bookmarkEnd w:id="846"/>
      <w:bookmarkEnd w:id="847"/>
    </w:p>
    <w:p>
      <w:pPr>
        <w:pStyle w:val="26"/>
        <w:ind w:firstLine="0"/>
        <w:jc w:val="center"/>
        <w:rPr>
          <w:rFonts w:ascii="仿宋" w:hAnsi="仿宋" w:eastAsia="仿宋" w:cs="仿宋"/>
          <w:b/>
          <w:bCs/>
          <w:sz w:val="24"/>
          <w:szCs w:val="24"/>
          <w:lang w:eastAsia="zh-CN"/>
        </w:rPr>
      </w:pPr>
      <w:r>
        <w:rPr>
          <w:rFonts w:hint="eastAsia" w:ascii="仿宋" w:hAnsi="仿宋" w:eastAsia="仿宋" w:cs="仿宋"/>
          <w:b/>
          <w:bCs/>
          <w:sz w:val="24"/>
          <w:szCs w:val="24"/>
          <w:lang w:eastAsia="zh-CN"/>
        </w:rPr>
        <w:t>存放地点：玉泉区应急管理局          调用联系人：孙潇</w:t>
      </w:r>
    </w:p>
    <w:tbl>
      <w:tblPr>
        <w:tblStyle w:val="19"/>
        <w:tblW w:w="841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128"/>
        <w:gridCol w:w="2599"/>
        <w:gridCol w:w="169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0" w:hRule="atLeast"/>
          <w:tblHeader/>
          <w:jc w:val="center"/>
        </w:trPr>
        <w:tc>
          <w:tcPr>
            <w:tcW w:w="4128" w:type="dxa"/>
            <w:noWrap/>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装备名称（型号）</w:t>
            </w:r>
          </w:p>
        </w:tc>
        <w:tc>
          <w:tcPr>
            <w:tcW w:w="2599" w:type="dxa"/>
            <w:noWrap/>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装备数量</w:t>
            </w:r>
          </w:p>
        </w:tc>
        <w:tc>
          <w:tcPr>
            <w:tcW w:w="1691" w:type="dxa"/>
            <w:noWrap/>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镐</w:t>
            </w:r>
          </w:p>
        </w:tc>
        <w:tc>
          <w:tcPr>
            <w:tcW w:w="2599"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100把</w:t>
            </w:r>
          </w:p>
        </w:tc>
        <w:tc>
          <w:tcPr>
            <w:tcW w:w="1691"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钳子</w:t>
            </w:r>
          </w:p>
        </w:tc>
        <w:tc>
          <w:tcPr>
            <w:tcW w:w="2599"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4把</w:t>
            </w:r>
          </w:p>
        </w:tc>
        <w:tc>
          <w:tcPr>
            <w:tcW w:w="1691"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铁锹（方）</w:t>
            </w:r>
          </w:p>
        </w:tc>
        <w:tc>
          <w:tcPr>
            <w:tcW w:w="2599"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106把</w:t>
            </w:r>
          </w:p>
        </w:tc>
        <w:tc>
          <w:tcPr>
            <w:tcW w:w="1691"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铁锹（圆）</w:t>
            </w:r>
          </w:p>
        </w:tc>
        <w:tc>
          <w:tcPr>
            <w:tcW w:w="2599"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284把</w:t>
            </w:r>
          </w:p>
        </w:tc>
        <w:tc>
          <w:tcPr>
            <w:tcW w:w="1691"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除雪铲</w:t>
            </w:r>
          </w:p>
        </w:tc>
        <w:tc>
          <w:tcPr>
            <w:tcW w:w="2599"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10把</w:t>
            </w:r>
          </w:p>
        </w:tc>
        <w:tc>
          <w:tcPr>
            <w:tcW w:w="1691"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消毒液</w:t>
            </w:r>
          </w:p>
        </w:tc>
        <w:tc>
          <w:tcPr>
            <w:tcW w:w="2599"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3桶</w:t>
            </w:r>
          </w:p>
        </w:tc>
        <w:tc>
          <w:tcPr>
            <w:tcW w:w="1691"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水枪</w:t>
            </w:r>
          </w:p>
        </w:tc>
        <w:tc>
          <w:tcPr>
            <w:tcW w:w="2599"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6个</w:t>
            </w:r>
          </w:p>
        </w:tc>
        <w:tc>
          <w:tcPr>
            <w:tcW w:w="1691" w:type="dxa"/>
            <w:noWrap/>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绳子</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28捆</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编织袋</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14000个</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救生衣</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150件</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两相发电机</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5台</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三相发电机</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6台</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无堵塞污水电泵</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11台（两相）</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三相抽水泵</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6台</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电线线圈</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4个</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电线</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7捆</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棉帽子</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15顶</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棉手套</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13副</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手电</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2件（40个）</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胶皮手套</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240副</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毛巾</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46条</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军用望远镜</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1个</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棉衣裤</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13套</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发电机</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两台</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警戒线</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30盘</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喊话器</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20个</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棉褥</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5件</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棉大衣</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5件</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被子</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5床</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太阳能警报手电</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38个</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雨伞</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46把</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探照灯</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3个</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雨鞋</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12包</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雨衣</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12包</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1号水带</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14根</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2号水带</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31根</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3号水带</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6根</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水带</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共计51根</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绳子</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28捆</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水带卡扣</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19对</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作训大衣</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18件</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冬作训服</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26套</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作训散件（冬）</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6件</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夏作训服</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66套</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夏作散件（夏）</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7件</w:t>
            </w:r>
          </w:p>
        </w:tc>
        <w:tc>
          <w:tcPr>
            <w:tcW w:w="1691" w:type="dxa"/>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4128" w:type="dxa"/>
            <w:noWrap/>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帽子（冬、夏）</w:t>
            </w:r>
          </w:p>
        </w:tc>
        <w:tc>
          <w:tcPr>
            <w:tcW w:w="2599" w:type="dxa"/>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（26、85）顶</w:t>
            </w:r>
          </w:p>
        </w:tc>
        <w:tc>
          <w:tcPr>
            <w:tcW w:w="1691" w:type="dxa"/>
            <w:vAlign w:val="center"/>
          </w:tcPr>
          <w:p>
            <w:pPr>
              <w:widowControl/>
              <w:jc w:val="center"/>
              <w:textAlignment w:val="center"/>
              <w:rPr>
                <w:rFonts w:ascii="仿宋" w:hAnsi="仿宋" w:eastAsia="仿宋" w:cs="仿宋"/>
                <w:color w:val="000000"/>
                <w:kern w:val="0"/>
                <w:sz w:val="24"/>
              </w:rPr>
            </w:pPr>
          </w:p>
        </w:tc>
      </w:tr>
      <w:bookmarkEnd w:id="818"/>
      <w:bookmarkEnd w:id="819"/>
    </w:tbl>
    <w:p>
      <w:pPr>
        <w:pStyle w:val="26"/>
        <w:ind w:firstLine="0"/>
        <w:rPr>
          <w:lang w:eastAsia="zh-CN"/>
        </w:rPr>
      </w:pPr>
    </w:p>
    <w:p>
      <w:pPr>
        <w:pStyle w:val="26"/>
        <w:ind w:firstLine="0"/>
        <w:rPr>
          <w:lang w:eastAsia="zh-CN"/>
        </w:rPr>
      </w:pPr>
    </w:p>
    <w:p>
      <w:pPr>
        <w:pStyle w:val="26"/>
        <w:ind w:firstLine="0"/>
        <w:rPr>
          <w:lang w:eastAsia="zh-CN"/>
        </w:rPr>
      </w:pPr>
    </w:p>
    <w:p>
      <w:pPr>
        <w:pStyle w:val="26"/>
        <w:ind w:firstLine="0"/>
        <w:rPr>
          <w:lang w:eastAsia="zh-CN"/>
        </w:rPr>
      </w:pPr>
    </w:p>
    <w:p>
      <w:pPr>
        <w:pStyle w:val="26"/>
        <w:ind w:firstLine="0"/>
        <w:rPr>
          <w:lang w:eastAsia="zh-CN"/>
        </w:rPr>
      </w:pPr>
    </w:p>
    <w:p>
      <w:pPr>
        <w:pStyle w:val="26"/>
        <w:ind w:firstLine="0"/>
        <w:rPr>
          <w:lang w:eastAsia="zh-CN"/>
        </w:rPr>
      </w:pPr>
    </w:p>
    <w:p>
      <w:pPr>
        <w:pStyle w:val="26"/>
        <w:ind w:firstLine="0"/>
        <w:rPr>
          <w:lang w:eastAsia="zh-CN"/>
        </w:rPr>
      </w:pPr>
    </w:p>
    <w:p>
      <w:pPr>
        <w:bidi w:val="0"/>
      </w:pPr>
    </w:p>
    <w:p/>
    <w:p>
      <w:pPr>
        <w:pStyle w:val="26"/>
        <w:wordWrap w:val="0"/>
        <w:spacing w:after="156" w:afterLines="50"/>
        <w:ind w:firstLine="0"/>
        <w:rPr>
          <w:rFonts w:ascii="仿宋" w:hAnsi="仿宋" w:eastAsia="仿宋" w:cs="仿宋"/>
          <w:b/>
          <w:bCs/>
          <w:color w:val="333333"/>
          <w:sz w:val="32"/>
          <w:szCs w:val="32"/>
          <w:lang w:eastAsia="zh-CN" w:bidi="ar"/>
        </w:rPr>
      </w:pPr>
    </w:p>
    <w:p>
      <w:pPr>
        <w:bidi w:val="0"/>
        <w:rPr>
          <w:rFonts w:hint="eastAsia"/>
        </w:rPr>
      </w:pPr>
    </w:p>
    <w:p>
      <w:pPr>
        <w:pStyle w:val="4"/>
        <w:adjustRightInd w:val="0"/>
        <w:snapToGrid w:val="0"/>
        <w:spacing w:before="120" w:after="120" w:line="240" w:lineRule="auto"/>
        <w:ind w:firstLine="0" w:firstLineChars="0"/>
        <w:outlineLvl w:val="0"/>
        <w:rPr>
          <w:rFonts w:hint="eastAsia" w:ascii="仿宋" w:hAnsi="仿宋" w:eastAsia="仿宋" w:cs="仿宋"/>
          <w:b/>
        </w:rPr>
      </w:pPr>
      <w:bookmarkStart w:id="848" w:name="_Toc13830"/>
      <w:r>
        <w:rPr>
          <w:rFonts w:hint="eastAsia" w:ascii="仿宋" w:hAnsi="仿宋" w:eastAsia="仿宋" w:cs="仿宋"/>
          <w:b/>
        </w:rPr>
        <w:t>附件8：玉泉区应急救援队伍表</w:t>
      </w:r>
      <w:bookmarkEnd w:id="848"/>
    </w:p>
    <w:tbl>
      <w:tblPr>
        <w:tblStyle w:val="20"/>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565"/>
        <w:gridCol w:w="2666"/>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outlineLvl w:val="9"/>
              <w:rPr>
                <w:rFonts w:hint="default" w:ascii="黑体" w:hAnsi="黑体" w:eastAsia="黑体" w:cs="黑体"/>
                <w:b w:val="0"/>
                <w:bCs w:val="0"/>
                <w:kern w:val="2"/>
                <w:sz w:val="28"/>
                <w:szCs w:val="18"/>
                <w:lang w:val="en-US" w:eastAsia="zh-CN"/>
              </w:rPr>
            </w:pPr>
            <w:r>
              <w:rPr>
                <w:rFonts w:hint="eastAsia" w:ascii="黑体" w:hAnsi="黑体" w:eastAsia="黑体" w:cs="黑体"/>
                <w:b w:val="0"/>
                <w:bCs w:val="0"/>
                <w:kern w:val="2"/>
                <w:sz w:val="28"/>
                <w:szCs w:val="18"/>
                <w:lang w:val="en-US" w:eastAsia="zh-CN"/>
              </w:rPr>
              <w:t>序号</w:t>
            </w:r>
          </w:p>
        </w:tc>
        <w:tc>
          <w:tcPr>
            <w:tcW w:w="256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outlineLvl w:val="9"/>
              <w:rPr>
                <w:rFonts w:hint="default" w:ascii="黑体" w:hAnsi="黑体" w:eastAsia="黑体" w:cs="黑体"/>
                <w:b w:val="0"/>
                <w:bCs w:val="0"/>
                <w:kern w:val="2"/>
                <w:sz w:val="28"/>
                <w:szCs w:val="18"/>
                <w:lang w:val="en-US" w:eastAsia="zh-CN"/>
              </w:rPr>
            </w:pPr>
            <w:r>
              <w:rPr>
                <w:rFonts w:hint="eastAsia" w:ascii="黑体" w:hAnsi="黑体" w:eastAsia="黑体" w:cs="黑体"/>
                <w:b w:val="0"/>
                <w:bCs w:val="0"/>
                <w:kern w:val="2"/>
                <w:sz w:val="28"/>
                <w:szCs w:val="18"/>
                <w:lang w:val="en-US" w:eastAsia="zh-CN"/>
              </w:rPr>
              <w:t>队伍名称</w:t>
            </w:r>
          </w:p>
        </w:tc>
        <w:tc>
          <w:tcPr>
            <w:tcW w:w="266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outlineLvl w:val="9"/>
              <w:rPr>
                <w:rFonts w:hint="default" w:ascii="黑体" w:hAnsi="黑体" w:eastAsia="黑体" w:cs="黑体"/>
                <w:b w:val="0"/>
                <w:bCs w:val="0"/>
                <w:kern w:val="2"/>
                <w:sz w:val="28"/>
                <w:szCs w:val="18"/>
                <w:lang w:val="en-US" w:eastAsia="zh-CN"/>
              </w:rPr>
            </w:pPr>
            <w:r>
              <w:rPr>
                <w:rFonts w:hint="eastAsia" w:ascii="黑体" w:hAnsi="黑体" w:eastAsia="黑体" w:cs="黑体"/>
                <w:b w:val="0"/>
                <w:bCs w:val="0"/>
                <w:kern w:val="2"/>
                <w:sz w:val="28"/>
                <w:szCs w:val="18"/>
                <w:lang w:val="en-US" w:eastAsia="zh-CN"/>
              </w:rPr>
              <w:t>地址</w:t>
            </w:r>
          </w:p>
        </w:tc>
        <w:tc>
          <w:tcPr>
            <w:tcW w:w="2600"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outlineLvl w:val="9"/>
              <w:rPr>
                <w:rFonts w:hint="default" w:ascii="黑体" w:hAnsi="黑体" w:eastAsia="黑体" w:cs="黑体"/>
                <w:b w:val="0"/>
                <w:bCs w:val="0"/>
                <w:kern w:val="2"/>
                <w:sz w:val="28"/>
                <w:szCs w:val="18"/>
                <w:lang w:val="en-US" w:eastAsia="zh-CN"/>
              </w:rPr>
            </w:pPr>
            <w:r>
              <w:rPr>
                <w:rFonts w:hint="eastAsia" w:ascii="黑体" w:hAnsi="黑体" w:eastAsia="黑体" w:cs="黑体"/>
                <w:b w:val="0"/>
                <w:bCs w:val="0"/>
                <w:kern w:val="2"/>
                <w:sz w:val="28"/>
                <w:szCs w:val="18"/>
                <w:lang w:val="en-US" w:eastAsia="zh-CN"/>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1</w:t>
            </w:r>
          </w:p>
        </w:tc>
        <w:tc>
          <w:tcPr>
            <w:tcW w:w="256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内蒙古民间户外救援协会应急救援队</w:t>
            </w:r>
          </w:p>
        </w:tc>
        <w:tc>
          <w:tcPr>
            <w:tcW w:w="266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内蒙古呼和浩特市中山东路22号</w:t>
            </w:r>
          </w:p>
        </w:tc>
        <w:tc>
          <w:tcPr>
            <w:tcW w:w="2600"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李军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2</w:t>
            </w:r>
          </w:p>
        </w:tc>
        <w:tc>
          <w:tcPr>
            <w:tcW w:w="256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内蒙古自驾游户外运动协会应急救援队</w:t>
            </w:r>
          </w:p>
        </w:tc>
        <w:tc>
          <w:tcPr>
            <w:tcW w:w="266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呼和浩特市新城区海东路劳动花园8号</w:t>
            </w:r>
          </w:p>
        </w:tc>
        <w:tc>
          <w:tcPr>
            <w:tcW w:w="2600"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贾春光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3</w:t>
            </w:r>
          </w:p>
        </w:tc>
        <w:tc>
          <w:tcPr>
            <w:tcW w:w="256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呼和浩特市蓝天救援服务队</w:t>
            </w:r>
          </w:p>
        </w:tc>
        <w:tc>
          <w:tcPr>
            <w:tcW w:w="266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呼和浩特市回民区乌素图地震基准台</w:t>
            </w:r>
          </w:p>
        </w:tc>
        <w:tc>
          <w:tcPr>
            <w:tcW w:w="2600"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谢队长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4</w:t>
            </w:r>
          </w:p>
        </w:tc>
        <w:tc>
          <w:tcPr>
            <w:tcW w:w="256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val="0"/>
                <w:kern w:val="2"/>
                <w:sz w:val="24"/>
                <w:szCs w:val="24"/>
                <w:lang w:val="en-US" w:eastAsia="zh-CN"/>
              </w:rPr>
              <w:t>内蒙古阜丰生物科技有限企业应急救援队</w:t>
            </w:r>
          </w:p>
        </w:tc>
        <w:tc>
          <w:tcPr>
            <w:tcW w:w="266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呼和浩特市经济技术开发区金川区经二路</w:t>
            </w:r>
          </w:p>
        </w:tc>
        <w:tc>
          <w:tcPr>
            <w:tcW w:w="2600"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唐保林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5</w:t>
            </w:r>
          </w:p>
        </w:tc>
        <w:tc>
          <w:tcPr>
            <w:tcW w:w="256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齐鲁制药（内蒙古）有限公司企业应急救援队</w:t>
            </w:r>
          </w:p>
        </w:tc>
        <w:tc>
          <w:tcPr>
            <w:tcW w:w="266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呼和浩特市经济技术开发区金川南区纬四路2号</w:t>
            </w:r>
          </w:p>
        </w:tc>
        <w:tc>
          <w:tcPr>
            <w:tcW w:w="2600"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sz w:val="28"/>
                <w:szCs w:val="28"/>
              </w:rPr>
              <w:t>张德营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8"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6</w:t>
            </w:r>
          </w:p>
        </w:tc>
        <w:tc>
          <w:tcPr>
            <w:tcW w:w="256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内蒙古草原红太阳食品股份有限公司企业应急救援队</w:t>
            </w:r>
          </w:p>
        </w:tc>
        <w:tc>
          <w:tcPr>
            <w:tcW w:w="266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呼和浩特裕隆工业园C区15号</w:t>
            </w:r>
          </w:p>
        </w:tc>
        <w:tc>
          <w:tcPr>
            <w:tcW w:w="2600"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240" w:lineRule="auto"/>
              <w:jc w:val="center"/>
              <w:textAlignment w:val="auto"/>
              <w:outlineLvl w:val="9"/>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color w:val="000000"/>
                <w:kern w:val="2"/>
                <w:sz w:val="28"/>
                <w:szCs w:val="28"/>
              </w:rPr>
              <w:t>于</w:t>
            </w:r>
            <w:r>
              <w:rPr>
                <w:rFonts w:hint="eastAsia" w:ascii="仿宋_GB2312" w:hAnsi="仿宋_GB2312" w:eastAsia="仿宋_GB2312" w:cs="仿宋_GB2312"/>
                <w:color w:val="000000"/>
                <w:kern w:val="2"/>
                <w:sz w:val="28"/>
                <w:szCs w:val="28"/>
                <w:lang w:eastAsia="zh-CN"/>
              </w:rPr>
              <w:t>文俊</w:t>
            </w:r>
          </w:p>
        </w:tc>
      </w:tr>
    </w:tbl>
    <w:p>
      <w:pPr>
        <w:pStyle w:val="26"/>
        <w:keepNext w:val="0"/>
        <w:keepLines w:val="0"/>
        <w:pageBreakBefore w:val="0"/>
        <w:kinsoku/>
        <w:wordWrap/>
        <w:overflowPunct/>
        <w:topLinePunct w:val="0"/>
        <w:autoSpaceDE/>
        <w:autoSpaceDN/>
        <w:bidi w:val="0"/>
        <w:adjustRightInd w:val="0"/>
        <w:snapToGrid w:val="0"/>
        <w:spacing w:line="240" w:lineRule="auto"/>
        <w:ind w:firstLine="0"/>
        <w:textAlignment w:val="auto"/>
        <w:rPr>
          <w:lang w:eastAsia="zh-CN"/>
        </w:rPr>
      </w:pPr>
    </w:p>
    <w:sectPr>
      <w:footerReference r:id="rId9" w:type="default"/>
      <w:pgSz w:w="11906" w:h="16838"/>
      <w:pgMar w:top="1587" w:right="1587" w:bottom="1417" w:left="1588"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Verdana">
    <w:altName w:val="Ubuntu"/>
    <w:panose1 w:val="020B0604030504040204"/>
    <w:charset w:val="00"/>
    <w:family w:val="swiss"/>
    <w:pitch w:val="default"/>
    <w:sig w:usb0="00000000" w:usb1="00000000" w:usb2="0000001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38862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388620"/>
                      </a:xfrm>
                      <a:prstGeom prst="rect">
                        <a:avLst/>
                      </a:prstGeom>
                      <a:noFill/>
                      <a:ln>
                        <a:noFill/>
                      </a:ln>
                    </wps:spPr>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０</w:t>
                          </w:r>
                          <w:r>
                            <w:rPr>
                              <w:sz w:val="28"/>
                              <w:szCs w:val="28"/>
                            </w:rPr>
                            <w:fldChar w:fldCharType="end"/>
                          </w:r>
                        </w:p>
                      </w:txbxContent>
                    </wps:txbx>
                    <wps:bodyPr wrap="none" lIns="0" tIns="0" rIns="0" bIns="0"/>
                  </wps:wsp>
                </a:graphicData>
              </a:graphic>
            </wp:anchor>
          </w:drawing>
        </mc:Choice>
        <mc:Fallback>
          <w:pict>
            <v:shape id="_x0000_s1026" o:spid="_x0000_s1026" o:spt="202" type="#_x0000_t202" style="position:absolute;left:0pt;margin-top:0pt;height:30.6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PEI&#10;3XDRAAAABAEAAA8AAAAAAAAAAQAgAAAAOAAAAGRycy9kb3ducmV2LnhtbFBLAQIUABQAAAAIAIdO&#10;4kA6HELYogEAACcDAAAOAAAAAAAAAAEAIAAAADYBAABkcnMvZTJvRG9jLnhtbFBLBQYAAAAABgAG&#10;AFkBAABKBQAAAAA=&#10;">
              <v:fill on="f" focussize="0,0"/>
              <v:stroke on="f"/>
              <v:imagedata o:title=""/>
              <o:lock v:ext="edit" aspectratio="f"/>
              <v:textbox inset="0mm,0mm,0mm,0mm">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０</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43</w:t>
                          </w:r>
                          <w:r>
                            <w:rPr>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43</w:t>
                    </w:r>
                    <w:r>
                      <w:rPr>
                        <w:sz w:val="24"/>
                        <w:szCs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b/>
        <w:spacing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EB442"/>
    <w:multiLevelType w:val="singleLevel"/>
    <w:tmpl w:val="90FEB442"/>
    <w:lvl w:ilvl="0" w:tentative="0">
      <w:start w:val="1"/>
      <w:numFmt w:val="chineseCounting"/>
      <w:pStyle w:val="5"/>
      <w:suff w:val="nothing"/>
      <w:lvlText w:val="（%1）"/>
      <w:lvlJc w:val="left"/>
      <w:pPr>
        <w:ind w:left="210" w:firstLine="420"/>
      </w:pPr>
      <w:rPr>
        <w:rFonts w:hint="eastAsia" w:eastAsia="仿宋_GB2312"/>
        <w:b/>
        <w:sz w:val="32"/>
        <w:szCs w:val="32"/>
      </w:rPr>
    </w:lvl>
  </w:abstractNum>
  <w:abstractNum w:abstractNumId="1">
    <w:nsid w:val="536F4AC4"/>
    <w:multiLevelType w:val="singleLevel"/>
    <w:tmpl w:val="536F4AC4"/>
    <w:lvl w:ilvl="0" w:tentative="0">
      <w:start w:val="3"/>
      <w:numFmt w:val="decimal"/>
      <w:suff w:val="nothing"/>
      <w:lvlText w:val="（%1）"/>
      <w:lvlJc w:val="left"/>
    </w:lvl>
  </w:abstractNum>
  <w:abstractNum w:abstractNumId="2">
    <w:nsid w:val="6AA3BD9A"/>
    <w:multiLevelType w:val="singleLevel"/>
    <w:tmpl w:val="6AA3BD9A"/>
    <w:lvl w:ilvl="0" w:tentative="0">
      <w:start w:val="9"/>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YjQ0NzU4MGE0OTU1YTgwMGJkODFjMTFkZTY5YTEifQ=="/>
  </w:docVars>
  <w:rsids>
    <w:rsidRoot w:val="6A572F6E"/>
    <w:rsid w:val="000F1AF2"/>
    <w:rsid w:val="00160493"/>
    <w:rsid w:val="001F3736"/>
    <w:rsid w:val="002401F3"/>
    <w:rsid w:val="002716F7"/>
    <w:rsid w:val="00295161"/>
    <w:rsid w:val="00296475"/>
    <w:rsid w:val="002B6860"/>
    <w:rsid w:val="002F4964"/>
    <w:rsid w:val="0030464A"/>
    <w:rsid w:val="00322A29"/>
    <w:rsid w:val="0039502E"/>
    <w:rsid w:val="003B5F66"/>
    <w:rsid w:val="004235C8"/>
    <w:rsid w:val="0049536D"/>
    <w:rsid w:val="004A7BA2"/>
    <w:rsid w:val="00595A76"/>
    <w:rsid w:val="00657A7C"/>
    <w:rsid w:val="00715E76"/>
    <w:rsid w:val="00743FCA"/>
    <w:rsid w:val="00954B23"/>
    <w:rsid w:val="00AC6F82"/>
    <w:rsid w:val="00AD0E1E"/>
    <w:rsid w:val="00CF0093"/>
    <w:rsid w:val="00DA3CCD"/>
    <w:rsid w:val="00DC3F37"/>
    <w:rsid w:val="00EC6DB3"/>
    <w:rsid w:val="00F53545"/>
    <w:rsid w:val="00F707FB"/>
    <w:rsid w:val="00FA3FA5"/>
    <w:rsid w:val="00FE0588"/>
    <w:rsid w:val="011F66A0"/>
    <w:rsid w:val="017E64C1"/>
    <w:rsid w:val="01AE47D6"/>
    <w:rsid w:val="01F17A87"/>
    <w:rsid w:val="02740A38"/>
    <w:rsid w:val="02994018"/>
    <w:rsid w:val="02B24CD3"/>
    <w:rsid w:val="02C22E67"/>
    <w:rsid w:val="02E755C6"/>
    <w:rsid w:val="03AA1C6B"/>
    <w:rsid w:val="04A81EAC"/>
    <w:rsid w:val="052C01A3"/>
    <w:rsid w:val="060A6FDB"/>
    <w:rsid w:val="065A15B9"/>
    <w:rsid w:val="066C5250"/>
    <w:rsid w:val="06D00B8B"/>
    <w:rsid w:val="0711517F"/>
    <w:rsid w:val="078D7F90"/>
    <w:rsid w:val="078E6AF3"/>
    <w:rsid w:val="08114CE9"/>
    <w:rsid w:val="081D4EDF"/>
    <w:rsid w:val="08712B28"/>
    <w:rsid w:val="08D84F73"/>
    <w:rsid w:val="08EF3495"/>
    <w:rsid w:val="09352C57"/>
    <w:rsid w:val="098F00C8"/>
    <w:rsid w:val="0B415188"/>
    <w:rsid w:val="0B562292"/>
    <w:rsid w:val="0B7F1DFC"/>
    <w:rsid w:val="0B81389B"/>
    <w:rsid w:val="0BCC6A37"/>
    <w:rsid w:val="0C091640"/>
    <w:rsid w:val="0CEF33B9"/>
    <w:rsid w:val="0E242F43"/>
    <w:rsid w:val="0EB72663"/>
    <w:rsid w:val="0ED168E7"/>
    <w:rsid w:val="0EF32DCC"/>
    <w:rsid w:val="0F117AF7"/>
    <w:rsid w:val="0F371757"/>
    <w:rsid w:val="0F437533"/>
    <w:rsid w:val="0F4C320E"/>
    <w:rsid w:val="0F7439FB"/>
    <w:rsid w:val="0F85102B"/>
    <w:rsid w:val="0FD967CF"/>
    <w:rsid w:val="103A5F34"/>
    <w:rsid w:val="10533619"/>
    <w:rsid w:val="115A7C2A"/>
    <w:rsid w:val="117250C5"/>
    <w:rsid w:val="11BA3663"/>
    <w:rsid w:val="128A5FA6"/>
    <w:rsid w:val="12DA2605"/>
    <w:rsid w:val="138008DC"/>
    <w:rsid w:val="13E40912"/>
    <w:rsid w:val="14972381"/>
    <w:rsid w:val="14E83CCB"/>
    <w:rsid w:val="1534197E"/>
    <w:rsid w:val="156236F4"/>
    <w:rsid w:val="169A3A0D"/>
    <w:rsid w:val="16BB2E86"/>
    <w:rsid w:val="172172E8"/>
    <w:rsid w:val="17255A22"/>
    <w:rsid w:val="17576416"/>
    <w:rsid w:val="176F0ADB"/>
    <w:rsid w:val="18AA4288"/>
    <w:rsid w:val="191C10A7"/>
    <w:rsid w:val="19EB5809"/>
    <w:rsid w:val="1AA2382E"/>
    <w:rsid w:val="1AD64F7F"/>
    <w:rsid w:val="1B0533B8"/>
    <w:rsid w:val="1BEA5226"/>
    <w:rsid w:val="1C485D0F"/>
    <w:rsid w:val="1C7B7E93"/>
    <w:rsid w:val="1E602BCB"/>
    <w:rsid w:val="1E686798"/>
    <w:rsid w:val="1E6943E1"/>
    <w:rsid w:val="1EA17A16"/>
    <w:rsid w:val="1FAE1D09"/>
    <w:rsid w:val="1FBC4A4A"/>
    <w:rsid w:val="1FCC07FB"/>
    <w:rsid w:val="1FD955FC"/>
    <w:rsid w:val="1FFC3E7F"/>
    <w:rsid w:val="20014FB8"/>
    <w:rsid w:val="20453899"/>
    <w:rsid w:val="205E5B0E"/>
    <w:rsid w:val="206157C9"/>
    <w:rsid w:val="22E03765"/>
    <w:rsid w:val="2367501F"/>
    <w:rsid w:val="239866E1"/>
    <w:rsid w:val="23DD73B9"/>
    <w:rsid w:val="248364FB"/>
    <w:rsid w:val="24C0322E"/>
    <w:rsid w:val="25707300"/>
    <w:rsid w:val="25D22394"/>
    <w:rsid w:val="25E72C2B"/>
    <w:rsid w:val="260D37E7"/>
    <w:rsid w:val="26474707"/>
    <w:rsid w:val="26D14BAB"/>
    <w:rsid w:val="26E33204"/>
    <w:rsid w:val="27471035"/>
    <w:rsid w:val="2758774E"/>
    <w:rsid w:val="27BE5D4A"/>
    <w:rsid w:val="281318C7"/>
    <w:rsid w:val="292B1F49"/>
    <w:rsid w:val="299A5D66"/>
    <w:rsid w:val="2B053EF3"/>
    <w:rsid w:val="2B2B0C44"/>
    <w:rsid w:val="2B74267D"/>
    <w:rsid w:val="2B7E6F24"/>
    <w:rsid w:val="2BD15D21"/>
    <w:rsid w:val="2C5A5D16"/>
    <w:rsid w:val="2CCF3ABF"/>
    <w:rsid w:val="2CD27948"/>
    <w:rsid w:val="2CF5638E"/>
    <w:rsid w:val="2CFC2D38"/>
    <w:rsid w:val="2D3F6E01"/>
    <w:rsid w:val="2DB651CE"/>
    <w:rsid w:val="2E5F1C45"/>
    <w:rsid w:val="2E9E6212"/>
    <w:rsid w:val="2EE10029"/>
    <w:rsid w:val="2EFF3921"/>
    <w:rsid w:val="2F0401BB"/>
    <w:rsid w:val="2F0F0A47"/>
    <w:rsid w:val="2F452CAE"/>
    <w:rsid w:val="2F60161C"/>
    <w:rsid w:val="2FCC4DCC"/>
    <w:rsid w:val="2FD7481D"/>
    <w:rsid w:val="2FE90983"/>
    <w:rsid w:val="2FEA2C50"/>
    <w:rsid w:val="3056151C"/>
    <w:rsid w:val="308F22FB"/>
    <w:rsid w:val="30F027A5"/>
    <w:rsid w:val="30F21C27"/>
    <w:rsid w:val="314D5E4A"/>
    <w:rsid w:val="317F18C6"/>
    <w:rsid w:val="31BC6B2B"/>
    <w:rsid w:val="31C9280A"/>
    <w:rsid w:val="325925CC"/>
    <w:rsid w:val="330259E4"/>
    <w:rsid w:val="333F5C66"/>
    <w:rsid w:val="33870863"/>
    <w:rsid w:val="33911DD4"/>
    <w:rsid w:val="33CB3D25"/>
    <w:rsid w:val="342310E4"/>
    <w:rsid w:val="345B2B17"/>
    <w:rsid w:val="34C22BD0"/>
    <w:rsid w:val="354264FC"/>
    <w:rsid w:val="35494192"/>
    <w:rsid w:val="357562B7"/>
    <w:rsid w:val="363A3B5D"/>
    <w:rsid w:val="3724433C"/>
    <w:rsid w:val="377C0A7B"/>
    <w:rsid w:val="3795145B"/>
    <w:rsid w:val="37D13201"/>
    <w:rsid w:val="38721645"/>
    <w:rsid w:val="38765C86"/>
    <w:rsid w:val="3887201C"/>
    <w:rsid w:val="3AB05F9A"/>
    <w:rsid w:val="3ABE667C"/>
    <w:rsid w:val="3AE976E2"/>
    <w:rsid w:val="3AEF3ACE"/>
    <w:rsid w:val="3B027CA5"/>
    <w:rsid w:val="3B5B0B29"/>
    <w:rsid w:val="3C5E5F88"/>
    <w:rsid w:val="3C9176E3"/>
    <w:rsid w:val="3DA4473B"/>
    <w:rsid w:val="3DC7541E"/>
    <w:rsid w:val="3DDC1293"/>
    <w:rsid w:val="3E254609"/>
    <w:rsid w:val="3E3C58F2"/>
    <w:rsid w:val="3ED4453A"/>
    <w:rsid w:val="3EE50F3B"/>
    <w:rsid w:val="3EEE5172"/>
    <w:rsid w:val="3EF6342D"/>
    <w:rsid w:val="3F0F643D"/>
    <w:rsid w:val="3F424876"/>
    <w:rsid w:val="3FD61700"/>
    <w:rsid w:val="40423336"/>
    <w:rsid w:val="40663049"/>
    <w:rsid w:val="409E221E"/>
    <w:rsid w:val="40FF07E3"/>
    <w:rsid w:val="41517290"/>
    <w:rsid w:val="415F4EA5"/>
    <w:rsid w:val="41D852BC"/>
    <w:rsid w:val="42224789"/>
    <w:rsid w:val="423544BC"/>
    <w:rsid w:val="42362113"/>
    <w:rsid w:val="427B46B8"/>
    <w:rsid w:val="43405872"/>
    <w:rsid w:val="43726924"/>
    <w:rsid w:val="441A3145"/>
    <w:rsid w:val="445369BE"/>
    <w:rsid w:val="448D662F"/>
    <w:rsid w:val="44D31843"/>
    <w:rsid w:val="45A40EED"/>
    <w:rsid w:val="45A96967"/>
    <w:rsid w:val="46924C01"/>
    <w:rsid w:val="46E43C1F"/>
    <w:rsid w:val="46EB5A91"/>
    <w:rsid w:val="473D5188"/>
    <w:rsid w:val="47956946"/>
    <w:rsid w:val="47C63F1B"/>
    <w:rsid w:val="47CA6F3D"/>
    <w:rsid w:val="47FB61A8"/>
    <w:rsid w:val="48027536"/>
    <w:rsid w:val="48503371"/>
    <w:rsid w:val="4871643D"/>
    <w:rsid w:val="489932CB"/>
    <w:rsid w:val="4965574F"/>
    <w:rsid w:val="49FB5795"/>
    <w:rsid w:val="4A1E617D"/>
    <w:rsid w:val="4AB83E21"/>
    <w:rsid w:val="4AE66C9B"/>
    <w:rsid w:val="4B3D426F"/>
    <w:rsid w:val="4B52242D"/>
    <w:rsid w:val="4BDA2B6C"/>
    <w:rsid w:val="4C0575F5"/>
    <w:rsid w:val="4C716A38"/>
    <w:rsid w:val="4CC54B9A"/>
    <w:rsid w:val="4CC941C2"/>
    <w:rsid w:val="4DC87926"/>
    <w:rsid w:val="4DD53FAB"/>
    <w:rsid w:val="4DE44C23"/>
    <w:rsid w:val="4E173937"/>
    <w:rsid w:val="4E4F72F1"/>
    <w:rsid w:val="4E6E603C"/>
    <w:rsid w:val="4E87489D"/>
    <w:rsid w:val="4F1F6EFA"/>
    <w:rsid w:val="4F20409A"/>
    <w:rsid w:val="4F5E312B"/>
    <w:rsid w:val="4FA65C1D"/>
    <w:rsid w:val="4FBC2806"/>
    <w:rsid w:val="504433F0"/>
    <w:rsid w:val="505259A9"/>
    <w:rsid w:val="50776DF5"/>
    <w:rsid w:val="51404273"/>
    <w:rsid w:val="51942CB6"/>
    <w:rsid w:val="51BF13A1"/>
    <w:rsid w:val="5274764A"/>
    <w:rsid w:val="528E60B0"/>
    <w:rsid w:val="52950FA7"/>
    <w:rsid w:val="52BC4786"/>
    <w:rsid w:val="52FC2DD4"/>
    <w:rsid w:val="534A2870"/>
    <w:rsid w:val="534C014C"/>
    <w:rsid w:val="53991E72"/>
    <w:rsid w:val="53D61877"/>
    <w:rsid w:val="545D0467"/>
    <w:rsid w:val="557E3DAC"/>
    <w:rsid w:val="55A7619E"/>
    <w:rsid w:val="55D87B28"/>
    <w:rsid w:val="55FC3817"/>
    <w:rsid w:val="571C755D"/>
    <w:rsid w:val="572D17AE"/>
    <w:rsid w:val="576751F6"/>
    <w:rsid w:val="578D7D0F"/>
    <w:rsid w:val="583F79EB"/>
    <w:rsid w:val="5878483F"/>
    <w:rsid w:val="59010087"/>
    <w:rsid w:val="592E36A2"/>
    <w:rsid w:val="594F7FEC"/>
    <w:rsid w:val="595A5AFE"/>
    <w:rsid w:val="59672269"/>
    <w:rsid w:val="59AA0648"/>
    <w:rsid w:val="59AD6BD6"/>
    <w:rsid w:val="59FF7DE6"/>
    <w:rsid w:val="5A1E090B"/>
    <w:rsid w:val="5A570B12"/>
    <w:rsid w:val="5A921DF5"/>
    <w:rsid w:val="5B89261D"/>
    <w:rsid w:val="5B90055D"/>
    <w:rsid w:val="5BDC2BC3"/>
    <w:rsid w:val="5BED1DA2"/>
    <w:rsid w:val="5C814A76"/>
    <w:rsid w:val="5CED3DE0"/>
    <w:rsid w:val="5D9C768D"/>
    <w:rsid w:val="5DFB0858"/>
    <w:rsid w:val="608B7265"/>
    <w:rsid w:val="60D9616C"/>
    <w:rsid w:val="617C573E"/>
    <w:rsid w:val="61BB6055"/>
    <w:rsid w:val="61DE5AAF"/>
    <w:rsid w:val="62301FDE"/>
    <w:rsid w:val="62F500BA"/>
    <w:rsid w:val="62FB484A"/>
    <w:rsid w:val="635345F9"/>
    <w:rsid w:val="63AB062A"/>
    <w:rsid w:val="63C86DC4"/>
    <w:rsid w:val="63CB6E77"/>
    <w:rsid w:val="64661A5C"/>
    <w:rsid w:val="64A02AF8"/>
    <w:rsid w:val="64D6523E"/>
    <w:rsid w:val="64DA2C7F"/>
    <w:rsid w:val="651B4060"/>
    <w:rsid w:val="65242BC2"/>
    <w:rsid w:val="662D5327"/>
    <w:rsid w:val="6641630D"/>
    <w:rsid w:val="66594370"/>
    <w:rsid w:val="66AD6DFD"/>
    <w:rsid w:val="67C154F0"/>
    <w:rsid w:val="67DE3C5C"/>
    <w:rsid w:val="680B1697"/>
    <w:rsid w:val="686C2689"/>
    <w:rsid w:val="68D67B79"/>
    <w:rsid w:val="68F44821"/>
    <w:rsid w:val="69023DFC"/>
    <w:rsid w:val="6969746C"/>
    <w:rsid w:val="696A51CF"/>
    <w:rsid w:val="69A04061"/>
    <w:rsid w:val="6A2A176A"/>
    <w:rsid w:val="6A572F6E"/>
    <w:rsid w:val="6A8E2C04"/>
    <w:rsid w:val="6AB853DB"/>
    <w:rsid w:val="6B494B34"/>
    <w:rsid w:val="6BAE366F"/>
    <w:rsid w:val="6C2E004A"/>
    <w:rsid w:val="6C6D6CB2"/>
    <w:rsid w:val="6D1B0D1D"/>
    <w:rsid w:val="6D233873"/>
    <w:rsid w:val="6D756C0C"/>
    <w:rsid w:val="6DE427A1"/>
    <w:rsid w:val="6DEC44DC"/>
    <w:rsid w:val="6E1A0886"/>
    <w:rsid w:val="6E934195"/>
    <w:rsid w:val="6EB825CC"/>
    <w:rsid w:val="6F392E2A"/>
    <w:rsid w:val="6FFF3C3A"/>
    <w:rsid w:val="700D136C"/>
    <w:rsid w:val="719E357C"/>
    <w:rsid w:val="721431BC"/>
    <w:rsid w:val="728704B4"/>
    <w:rsid w:val="729606F7"/>
    <w:rsid w:val="7305498B"/>
    <w:rsid w:val="732E41C7"/>
    <w:rsid w:val="735013D5"/>
    <w:rsid w:val="73AA799E"/>
    <w:rsid w:val="741C6781"/>
    <w:rsid w:val="74C55EC1"/>
    <w:rsid w:val="74EE4AA7"/>
    <w:rsid w:val="75884065"/>
    <w:rsid w:val="75E6443D"/>
    <w:rsid w:val="760C05B4"/>
    <w:rsid w:val="762B1157"/>
    <w:rsid w:val="7630178E"/>
    <w:rsid w:val="772B5915"/>
    <w:rsid w:val="772D421A"/>
    <w:rsid w:val="773A7746"/>
    <w:rsid w:val="786344AC"/>
    <w:rsid w:val="78BD0A5A"/>
    <w:rsid w:val="795E44E4"/>
    <w:rsid w:val="79601B1D"/>
    <w:rsid w:val="797E458E"/>
    <w:rsid w:val="79B25E17"/>
    <w:rsid w:val="79F74547"/>
    <w:rsid w:val="7A220F31"/>
    <w:rsid w:val="7AAD7A99"/>
    <w:rsid w:val="7AB428B6"/>
    <w:rsid w:val="7AFF2913"/>
    <w:rsid w:val="7B0C1557"/>
    <w:rsid w:val="7B1A1DFD"/>
    <w:rsid w:val="7BA1081B"/>
    <w:rsid w:val="7BB816DF"/>
    <w:rsid w:val="7C061776"/>
    <w:rsid w:val="7C0D1674"/>
    <w:rsid w:val="7C3E3F30"/>
    <w:rsid w:val="7C813A8B"/>
    <w:rsid w:val="7C921F30"/>
    <w:rsid w:val="7CAF4890"/>
    <w:rsid w:val="7CB43A32"/>
    <w:rsid w:val="7CDF3F2C"/>
    <w:rsid w:val="7CFB1883"/>
    <w:rsid w:val="7D6D280C"/>
    <w:rsid w:val="7E7F64E4"/>
    <w:rsid w:val="7E9975A5"/>
    <w:rsid w:val="F51F9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方正小标宋简体" w:cs="Times New Roman"/>
      <w:kern w:val="44"/>
      <w:sz w:val="36"/>
      <w:szCs w:val="48"/>
    </w:rPr>
  </w:style>
  <w:style w:type="paragraph" w:styleId="4">
    <w:name w:val="heading 2"/>
    <w:basedOn w:val="1"/>
    <w:next w:val="1"/>
    <w:link w:val="25"/>
    <w:semiHidden/>
    <w:unhideWhenUsed/>
    <w:qFormat/>
    <w:uiPriority w:val="0"/>
    <w:pPr>
      <w:keepNext/>
      <w:keepLines/>
      <w:spacing w:before="20" w:after="20" w:line="360" w:lineRule="auto"/>
      <w:ind w:firstLine="640" w:firstLineChars="200"/>
      <w:jc w:val="left"/>
      <w:outlineLvl w:val="1"/>
    </w:pPr>
    <w:rPr>
      <w:rFonts w:ascii="Times New Roman" w:hAnsi="Times New Roman" w:eastAsia="黑体" w:cs="Times New Roman"/>
      <w:sz w:val="32"/>
      <w:szCs w:val="32"/>
    </w:rPr>
  </w:style>
  <w:style w:type="paragraph" w:styleId="5">
    <w:name w:val="heading 3"/>
    <w:basedOn w:val="1"/>
    <w:next w:val="1"/>
    <w:link w:val="28"/>
    <w:semiHidden/>
    <w:unhideWhenUsed/>
    <w:qFormat/>
    <w:uiPriority w:val="0"/>
    <w:pPr>
      <w:keepNext/>
      <w:keepLines/>
      <w:numPr>
        <w:ilvl w:val="0"/>
        <w:numId w:val="1"/>
      </w:numPr>
      <w:adjustRightInd w:val="0"/>
      <w:spacing w:before="20" w:after="20" w:line="360" w:lineRule="auto"/>
      <w:jc w:val="left"/>
      <w:outlineLvl w:val="2"/>
    </w:pPr>
    <w:rPr>
      <w:rFonts w:ascii="Arial" w:hAnsi="Arial" w:eastAsia="仿宋_GB2312" w:cs="Times New Roman"/>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eastAsia="宋体"/>
      <w:kern w:val="0"/>
      <w:sz w:val="18"/>
      <w:szCs w:val="18"/>
    </w:rPr>
  </w:style>
  <w:style w:type="paragraph" w:styleId="6">
    <w:name w:val="annotation text"/>
    <w:basedOn w:val="1"/>
    <w:link w:val="36"/>
    <w:qFormat/>
    <w:uiPriority w:val="0"/>
    <w:pPr>
      <w:jc w:val="left"/>
    </w:pPr>
  </w:style>
  <w:style w:type="paragraph" w:styleId="7">
    <w:name w:val="Body Text"/>
    <w:basedOn w:val="1"/>
    <w:next w:val="1"/>
    <w:qFormat/>
    <w:uiPriority w:val="0"/>
    <w:pPr>
      <w:spacing w:after="120"/>
    </w:pPr>
    <w:rPr>
      <w:rFonts w:ascii="Calibri" w:hAnsi="Calibri" w:eastAsia="宋体" w:cs="Times New Roman"/>
    </w:rPr>
  </w:style>
  <w:style w:type="paragraph" w:styleId="8">
    <w:name w:val="Body Text Indent"/>
    <w:basedOn w:val="1"/>
    <w:next w:val="9"/>
    <w:unhideWhenUsed/>
    <w:qFormat/>
    <w:uiPriority w:val="99"/>
    <w:pPr>
      <w:spacing w:after="120"/>
      <w:ind w:left="420" w:leftChars="200"/>
    </w:pPr>
  </w:style>
  <w:style w:type="paragraph" w:customStyle="1" w:styleId="9">
    <w:name w:val="p16"/>
    <w:next w:val="10"/>
    <w:qFormat/>
    <w:uiPriority w:val="0"/>
    <w:pPr>
      <w:ind w:firstLine="420"/>
      <w:jc w:val="both"/>
    </w:pPr>
    <w:rPr>
      <w:rFonts w:ascii="宋体" w:hAnsi="Times New Roman" w:eastAsia="宋体" w:cs="宋体"/>
      <w:sz w:val="21"/>
      <w:szCs w:val="21"/>
      <w:lang w:val="en-US" w:eastAsia="zh-CN" w:bidi="ar-SA"/>
    </w:rPr>
  </w:style>
  <w:style w:type="paragraph" w:styleId="10">
    <w:name w:val="toc 2"/>
    <w:basedOn w:val="1"/>
    <w:next w:val="1"/>
    <w:unhideWhenUsed/>
    <w:qFormat/>
    <w:uiPriority w:val="39"/>
    <w:pPr>
      <w:spacing w:after="100" w:line="259" w:lineRule="auto"/>
      <w:ind w:left="220"/>
    </w:pPr>
    <w:rPr>
      <w:rFonts w:ascii="等线" w:hAnsi="等线" w:eastAsia="等线"/>
      <w:sz w:val="22"/>
      <w:szCs w:val="22"/>
    </w:rPr>
  </w:style>
  <w:style w:type="paragraph" w:styleId="11">
    <w:name w:val="toc 3"/>
    <w:basedOn w:val="1"/>
    <w:next w:val="1"/>
    <w:qFormat/>
    <w:uiPriority w:val="0"/>
    <w:pPr>
      <w:ind w:left="840" w:leftChars="400"/>
    </w:pPr>
  </w:style>
  <w:style w:type="paragraph" w:styleId="12">
    <w:name w:val="Body Text Indent 2"/>
    <w:basedOn w:val="1"/>
    <w:qFormat/>
    <w:uiPriority w:val="99"/>
    <w:pPr>
      <w:spacing w:after="120" w:line="480" w:lineRule="auto"/>
      <w:ind w:left="420" w:leftChars="200"/>
    </w:p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after="100" w:line="259" w:lineRule="auto"/>
    </w:pPr>
    <w:rPr>
      <w:rFonts w:ascii="等线" w:hAnsi="等线" w:eastAsia="等线"/>
      <w:sz w:val="22"/>
      <w:szCs w:val="22"/>
    </w:rPr>
  </w:style>
  <w:style w:type="paragraph" w:styleId="15">
    <w:name w:val="Normal (Web)"/>
    <w:basedOn w:val="1"/>
    <w:next w:val="1"/>
    <w:qFormat/>
    <w:uiPriority w:val="0"/>
    <w:pPr>
      <w:spacing w:beforeAutospacing="1" w:afterAutospacing="1"/>
      <w:jc w:val="left"/>
    </w:pPr>
    <w:rPr>
      <w:rFonts w:cs="Times New Roman"/>
      <w:kern w:val="0"/>
      <w:sz w:val="24"/>
    </w:rPr>
  </w:style>
  <w:style w:type="paragraph" w:styleId="16">
    <w:name w:val="annotation subject"/>
    <w:basedOn w:val="6"/>
    <w:next w:val="6"/>
    <w:link w:val="37"/>
    <w:qFormat/>
    <w:uiPriority w:val="0"/>
    <w:rPr>
      <w:b/>
      <w:bCs/>
    </w:rPr>
  </w:style>
  <w:style w:type="paragraph" w:styleId="17">
    <w:name w:val="Body Text First Indent"/>
    <w:basedOn w:val="7"/>
    <w:next w:val="1"/>
    <w:qFormat/>
    <w:uiPriority w:val="0"/>
    <w:pPr>
      <w:ind w:firstLine="562" w:firstLineChars="200"/>
    </w:pPr>
    <w:rPr>
      <w:rFonts w:ascii="Times New Roman" w:hAnsi="Times New Roman"/>
    </w:rPr>
  </w:style>
  <w:style w:type="paragraph" w:styleId="18">
    <w:name w:val="Body Text First Indent 2"/>
    <w:basedOn w:val="8"/>
    <w:next w:val="17"/>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标题 2 字符"/>
    <w:link w:val="4"/>
    <w:qFormat/>
    <w:uiPriority w:val="0"/>
    <w:rPr>
      <w:rFonts w:ascii="Times New Roman" w:hAnsi="Times New Roman" w:eastAsia="黑体" w:cs="Times New Roman"/>
      <w:sz w:val="32"/>
      <w:szCs w:val="32"/>
    </w:rPr>
  </w:style>
  <w:style w:type="paragraph" w:customStyle="1" w:styleId="26">
    <w:name w:val="正文样式"/>
    <w:basedOn w:val="27"/>
    <w:qFormat/>
    <w:uiPriority w:val="0"/>
    <w:pPr>
      <w:adjustRightInd w:val="0"/>
      <w:snapToGrid w:val="0"/>
      <w:spacing w:line="520" w:lineRule="exact"/>
      <w:ind w:firstLine="562"/>
    </w:pPr>
    <w:rPr>
      <w:rFonts w:ascii="Times New Roman"/>
      <w:color w:val="000000"/>
      <w:sz w:val="28"/>
      <w:szCs w:val="28"/>
    </w:rPr>
  </w:style>
  <w:style w:type="paragraph" w:customStyle="1" w:styleId="27">
    <w:name w:val="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28">
    <w:name w:val="标题 3 字符"/>
    <w:link w:val="5"/>
    <w:qFormat/>
    <w:uiPriority w:val="0"/>
    <w:rPr>
      <w:rFonts w:ascii="Arial" w:hAnsi="Arial" w:eastAsia="仿宋_GB2312" w:cs="Times New Roman"/>
      <w:b/>
      <w:sz w:val="32"/>
      <w:szCs w:val="32"/>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1">
    <w:name w:val="font01"/>
    <w:basedOn w:val="21"/>
    <w:qFormat/>
    <w:uiPriority w:val="0"/>
    <w:rPr>
      <w:rFonts w:hint="eastAsia" w:ascii="宋体" w:hAnsi="宋体" w:eastAsia="宋体" w:cs="宋体"/>
      <w:color w:val="000000"/>
      <w:sz w:val="22"/>
      <w:szCs w:val="22"/>
      <w:u w:val="none"/>
    </w:rPr>
  </w:style>
  <w:style w:type="paragraph" w:customStyle="1" w:styleId="32">
    <w:name w:val="普通(网站)1"/>
    <w:basedOn w:val="1"/>
    <w:qFormat/>
    <w:uiPriority w:val="0"/>
    <w:pPr>
      <w:widowControl/>
      <w:spacing w:line="360" w:lineRule="auto"/>
      <w:jc w:val="left"/>
    </w:pPr>
    <w:rPr>
      <w:rFonts w:ascii="宋体" w:hAnsi="宋体" w:eastAsia="宋体" w:cs="宋体"/>
      <w:kern w:val="0"/>
      <w:szCs w:val="21"/>
    </w:rPr>
  </w:style>
  <w:style w:type="paragraph" w:customStyle="1" w:styleId="33">
    <w:name w:val="正文首行缩进2"/>
    <w:basedOn w:val="1"/>
    <w:qFormat/>
    <w:uiPriority w:val="0"/>
    <w:pPr>
      <w:spacing w:line="360" w:lineRule="auto"/>
      <w:ind w:firstLine="420" w:firstLineChars="200"/>
      <w:jc w:val="left"/>
    </w:pPr>
    <w:rPr>
      <w:rFonts w:ascii="宋体" w:hAnsi="宋体" w:eastAsia="宋体" w:cs="Times New Roman"/>
      <w:sz w:val="24"/>
    </w:rPr>
  </w:style>
  <w:style w:type="paragraph" w:customStyle="1" w:styleId="34">
    <w:name w:val="正文首行缩进1"/>
    <w:basedOn w:val="1"/>
    <w:qFormat/>
    <w:uiPriority w:val="4"/>
    <w:pPr>
      <w:spacing w:line="360" w:lineRule="auto"/>
      <w:ind w:firstLine="420" w:firstLineChars="200"/>
      <w:jc w:val="left"/>
    </w:pPr>
    <w:rPr>
      <w:rFonts w:ascii="宋体" w:hAnsi="宋体" w:eastAsia="宋体" w:cs="Times New Roman"/>
      <w:sz w:val="24"/>
    </w:rPr>
  </w:style>
  <w:style w:type="paragraph" w:customStyle="1" w:styleId="35">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6">
    <w:name w:val="批注文字 字符"/>
    <w:basedOn w:val="21"/>
    <w:link w:val="6"/>
    <w:qFormat/>
    <w:uiPriority w:val="0"/>
    <w:rPr>
      <w:rFonts w:asciiTheme="minorHAnsi" w:hAnsiTheme="minorHAnsi" w:eastAsiaTheme="minorEastAsia" w:cstheme="minorBidi"/>
      <w:kern w:val="2"/>
      <w:sz w:val="21"/>
      <w:szCs w:val="24"/>
    </w:rPr>
  </w:style>
  <w:style w:type="character" w:customStyle="1" w:styleId="37">
    <w:name w:val="批注主题 字符"/>
    <w:basedOn w:val="36"/>
    <w:link w:val="16"/>
    <w:qFormat/>
    <w:uiPriority w:val="0"/>
    <w:rPr>
      <w:rFonts w:asciiTheme="minorHAnsi" w:hAnsiTheme="minorHAnsi" w:eastAsiaTheme="minorEastAsia" w:cstheme="minorBidi"/>
      <w:b/>
      <w:bCs/>
      <w:kern w:val="2"/>
      <w:sz w:val="21"/>
      <w:szCs w:val="24"/>
    </w:rPr>
  </w:style>
  <w:style w:type="paragraph" w:customStyle="1" w:styleId="38">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4561</Words>
  <Characters>26002</Characters>
  <Lines>216</Lines>
  <Paragraphs>61</Paragraphs>
  <TotalTime>9</TotalTime>
  <ScaleCrop>false</ScaleCrop>
  <LinksUpToDate>false</LinksUpToDate>
  <CharactersWithSpaces>30502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2021-12-06T07:44:00Z</dcterms:created>
  <dc:creator>知  竹</dc:creator>
  <cp:lastModifiedBy>yqq</cp:lastModifiedBy>
  <dcterms:modified xsi:type="dcterms:W3CDTF">2026-04-29T17:13:24Z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76DF0944D5D04EDC8CC1BC4904B9F3A7_13</vt:lpwstr>
  </property>
  <property fmtid="{D5CDD505-2E9C-101B-9397-08002B2CF9AE}" pid="4" name="MSIP_Label_defa4170-0d19-0005-0004-bc88714345d2_Enabled">
    <vt:lpwstr>true</vt:lpwstr>
  </property>
  <property fmtid="{D5CDD505-2E9C-101B-9397-08002B2CF9AE}" pid="5" name="MSIP_Label_defa4170-0d19-0005-0004-bc88714345d2_SetDate">
    <vt:lpwstr>2023-11-24T01:40:49Z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488d4314-3b4c-4dbe-b98f-9b5e62eee432</vt:lpwstr>
  </property>
  <property fmtid="{D5CDD505-2E9C-101B-9397-08002B2CF9AE}" pid="9" name="MSIP_Label_defa4170-0d19-0005-0004-bc88714345d2_ActionId">
    <vt:lpwstr>1a60c288-5fd9-4024-ba32-3f1b9601d740</vt:lpwstr>
  </property>
  <property fmtid="{D5CDD505-2E9C-101B-9397-08002B2CF9AE}" pid="10" name="MSIP_Label_defa4170-0d19-0005-0004-bc88714345d2_ContentBits">
    <vt:lpwstr>0</vt:lpwstr>
  </property>
</Properties>
</file>