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小黑河水岸公园清扫保洁项目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呼和浩特市玉泉区城市管理综合执法局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内蒙古嘉云诚招标代理有限公司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150104-JYCZB-GK-20250001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内蒙古嘉云诚招标代理有限公司</w:t>
      </w:r>
      <w:r>
        <w:rPr>
          <w:rFonts w:ascii="仿宋_GB2312" w:hAnsi="仿宋_GB2312" w:cs="仿宋_GB2312" w:eastAsia="仿宋_GB2312"/>
        </w:rPr>
        <w:t xml:space="preserve"> 受 </w:t>
      </w:r>
      <w:r>
        <w:rPr>
          <w:rFonts w:ascii="仿宋_GB2312" w:hAnsi="仿宋_GB2312" w:cs="仿宋_GB2312" w:eastAsia="仿宋_GB2312"/>
        </w:rPr>
        <w:t>呼和浩特市玉泉区城市管理综合执法局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小黑河水岸公园清扫保洁项目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小黑河水岸公园清扫保洁项目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150104-JYCZB-GK-20250001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玉政采计划[2025]00087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3,073,837.56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水岸公园河道绿化、硬化保洁（昭君路太平桥西侧至云中路大桥以东）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3,073,837.56</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1,872,899.61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水岸公园河道绿化、硬化保洁（呼伦路桥底中心线以西至昭君路太平桥西侧以东（含太平桥桥下路段））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1,872,899.61</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内蒙古嘉云诚招标代理有限公司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内蒙古自治区呼和浩特市赛罕区惠民街旺第嘉华27号楼1308室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娜梅、刘丹</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0471-3289401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呼和浩特市玉泉区城市管理综合执法局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玉泉区鄂尔多斯大街84号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杜晶</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0471-3916057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代理服务费收费标准：收费标准参照原内蒙古自治区工程建设协会文件内工建协（2022）34号（服务）收取。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1、投标报价说明: 报价包含人工费、材料费、维修费、车辆保险 费、资产折旧费、管理费、利润、税金等所有费用。 2、服务方式说明：采用 全包干形式，即管理任务包干、清扫任务包干、经费包干。甲方将清扫任务、 管理任务交给乙方，乙方按甲方的管理要求和标准组织相关工作，并接受甲方 的指导、监督和考核考评。 3、关于纸质投标文件的说明: 供应商中标后，须在发布中标结果公示后两天内提供与电子投标文件内容完全一致的纸质投标文件3份（用于备案存档）。纸质投标文件装订后按招标文件要求加盖单位公章 。 4、投标文件制作说明: 此项目为电子投标，制作响应文件时请到自治区政 府采购网首页自行学习操作方法（网站上有操作视频），如遇问题无法解决， 请在工作时间及时拨打电话400-0471-010。 5、招标文件模板说明: 由于本 项目采用电子系统招标，后台招标文件为系统模板，根据具体项目的情况无法 准确描述，部分内容只可填空，不可更改 。招标文件中有不适用之处，敬请 见谅。如有问题，请及时联系采购代理公司。</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呼和浩特市玉泉区城市管理综合执法局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内蒙古嘉云诚招标代理有限公司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审查供应商2022年度至2024年度任意一年经会计师事务所出具的财务审计报告或其基本开户银行出具的近一年内的银行资信证明或承诺书（格式自拟）。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1.提供递交投标文件截止之日前一年内至少一个月的良好缴纳税收的相关凭据。（以税务机关提供的纳税凭据或银行入账单为准）或依法缴纳税收承诺函（格式自拟）。 2.提供递交投标文件截止之日前一年内至少一个月缴纳社会保险的凭证。（以专用收据或社会保险缴纳清单或银行凭证为准）或依法缴纳社会保险承诺函（格式自拟）。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至递交投标文件的截止时间，在“信用中国”网(www.creditchina.gov.cn)查询到供应商未被列入失信被执行人、重大税收违法失信主体、“中国政府采购网”（www.ccgp.gov.cn）查询到供应商未被列入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审查供应商2022年度至2024年度任意一年经会计师事务所出具的财务审计报告或其基本开户银行出具的近一年内的银行资信证明或承诺书（格式自拟）。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1.提供递交投标文件截止之日前一年内至少一个月的良好缴纳税收的相关凭据。（以税务机关提供的纳税凭据或银行入账单为准）或依法缴纳税收承诺函（格式自拟）。 2.提供递交投标文件截止之日前一年内至少一个月缴纳社会保险的凭证。（以专用收据或社会保险缴纳清单或银行凭证为准）或依法缴纳社会保险承诺函（格式自拟）。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至递交投标文件的截止时间，在“信用中国”网(www.creditchina.gov.cn)查询到供应商未被列入失信被执行人、重大税收违法失信主体、“中国政府采购网”（www.ccgp.gov.cn）查询到供应商未被列入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小黑河水岸公园区域清扫保洁工作，范围为东至呼伦贝尔路路西，西至云中路路东，保洁面积1247650.48㎡，本项目总预算金额为4946737.17元（一年预算）。 包1为水岸公园河道绿化、硬化保洁（昭君路太平桥西侧至云中路大桥以东），面积为775281.87㎡（其中绿化面积：525951.22㎡；硬化面积：249330.65㎡），预算金额为3073837.56元； 包2为水岸公园河道绿化、硬化保洁（呼伦路桥底中心线以西至昭君路太平桥西侧以东（含太平桥桥下路段）），面积为472368.61㎡（其中绿化面积：320437.35㎡；硬化面积：151931.26㎡），预算金额为1872899.61元。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合同生效之日起一年（服务期满经考核合格后可续签下一年度服务合同，最多续签至第三年）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8%，按月支付，合同签订后支付不超本年度合同金额的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2、支付比例16%，按月支付，合同签订后支付不超本年度合同金额的16%（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3、支付比例24%，按月支付，合同签订后支付不超本年度合同金额的24%（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4、支付比例32%，按月支付，合同签订后支付不超本年度合同金额的32%（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5、支付比例40%，按月支付，合同签订后支付不超本年度合同金额的40%（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6、支付比例48%，按月支付，合同签订后支付不超本年度合同金额的48%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7、支付比例56%，按月支付，合同签订后支付不超本年度合同金额的56%（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8、支付比例64%，按月支付，合同签订后支付不超本年度合同金额的64%（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9、支付比例72%，按月支付，合同签订后支付不超本年度合同金额的72%（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10、支付比例80%，按月支付，合同签订后支付不超本年度合同金额的80%（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11、支付比例88%，按月支付，合同签订后支付不超本年度合同金额的88%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12、支付比例100%，按月支付，合同签订后支付不超本年度合同金额的100%（甲方有权根据区环卫考核考评小组综合测评结果在扣除乙方应支付的违约金后，将每月服务费用支付乙方）。，达到付款条件起90日，支付合同总金额的12.00%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合同生效之日起一年（服务期满经考核合格后可续签下一年度服务合同，最多续签至第三年）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8%，按月支付，合同签订后支付不超本年度合同金额的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2、支付比例16%，按月支付，合同签订后支付不超本年度合同金额的16%（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3、支付比例24%，按月支付，合同签订后支付不超本年度合同金额的24%（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4、支付比例32%，按月支付，合同签订后支付不超本年度合同金额的32%（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5、支付比例40%，按月支付，合同签订后支付不超本年度合同金额的40%（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6、支付比例48%，按月支付，合同签订后支付不超本年度合同金额的48%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7、支付比例56%，按月支付，合同签订后支付不超本年度合同金额的56%（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8、支付比例64%，按月支付，合同签订后支付不超本年度合同金额的64%（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9、支付比例72%，按月支付，合同签订后支付不超本年度合同金额的72%（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10、支付比例80%，按月支付，合同签订后支付不超本年度合同金额的80%（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11、支付比例88%，按月支付，合同签订后支付不超本年度合同金额的88%（甲方有权根据区环卫考核考评小组综合测评结果在扣除乙方应支付的违约金后，将每月服务费用支付乙方）。，达到付款条件起90日，支付合同总金额的8.00%</w:t>
            </w:r>
          </w:p>
          <w:p>
            <w:pPr>
              <w:pStyle w:val="null5"/>
              <w:jc w:val="left"/>
            </w:pPr>
            <w:r>
              <w:rPr>
                <w:rFonts w:ascii="仿宋_GB2312" w:hAnsi="仿宋_GB2312" w:cs="仿宋_GB2312" w:eastAsia="仿宋_GB2312"/>
              </w:rPr>
              <w:t>12、支付比例100%，按月支付，合同签订后支付不超本年度合同金额的100%（甲方有权根据区环卫考核考评小组综合测评结果在扣除乙方应支付的违约金后，将每月服务费用支付乙方）。，达到付款条件起90日，支付合同总金额的12.00%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标的名称：水岸公园河道绿化、硬化保洁（昭君路太平桥西侧至云中路大桥以东）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详见附件一：合同包一  水岸公园河道绿化、硬化保洁（昭君路太平桥西侧至云中路大桥以东）采购需求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标的名称：水岸公园河道绿化、硬化保洁（呼伦路桥底中心线以西至昭君路太平桥西侧以东（含太平桥桥下路段））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详见附件二：合同包二  水岸公园河道绿化、硬化保洁（呼伦路桥底中心线以西至昭君路太平桥西侧以东（含太平桥桥下路段））采购需求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针对本项目特点，根据供应商提供的整体服务方案，包括但不限于：①清扫保洁服务标准；②服务工作范围与计划；③杂草、积土、垃圾清运方案；④公用设施维护管理；⑤对本项目工作中的重点、难点分析及应对措施，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根据供应商提供的服务质量保障方案，内容应包括但不限于：①质量管理目标；②质量控制计划；③质量责任体系；④质量管理措施；⑤质量监督与检验，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供应商提供的安全管理体系与措施方案，内容应包括但不限于：①安全作业管理制度；②安全文明作业方案；③设施设备安全检查方案；④安全事故处理方法，对上述四项方案内容的合理性、完整性、可行性分别进行评审，以上四项内容完整，均进行详细阐述且满足采购需求，得12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供应商提供的环境保护管理体系与措施进行评审，内容包括但不限于：①环境保护目标；②环境保护管理措施；③污染物处理及排放，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进度保证体系及措施</w:t>
            </w:r>
          </w:p>
        </w:tc>
        <w:tc>
          <w:tcPr>
            <w:tcW w:type="dxa" w:w="3115"/>
          </w:tcPr>
          <w:p>
            <w:pPr>
              <w:pStyle w:val="null5"/>
              <w:jc w:val="left"/>
            </w:pPr>
            <w:r>
              <w:rPr>
                <w:rFonts w:ascii="仿宋_GB2312" w:hAnsi="仿宋_GB2312" w:cs="仿宋_GB2312" w:eastAsia="仿宋_GB2312"/>
              </w:rPr>
              <w:t>根据供应商提供的进度保证体系及措施方案，内容应包括但不限于：①作业进度计划安排；②进度保证措施，对上述两项方案内容的合理性、完整性、可行性分别进行评审，以上两项内容完整，均进行详细阐述且满足采购需求，得6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供应商提供的资源配备计划进行评审，内容包括但不限于：①保洁清扫工具配备管理计划；②安全防护用品配备管理方案；③拟投入劳动力管理计划；④作业车辆配备计划及管理方案，对上述四项方案内容的合理性、完整性、可行性分别进行评审，以上三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根据供应商提供的项目机构管理方案进行评审，内容包括但不限于：①项目管理机构设置及规章制度；②人员能力③人员管理方案及职责的划分，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根据供应商提供的特殊季节保障措施进行评审，内容包括但不限于：①冬季清雪除冰服务方案；②雨季清除路面积水，保障雨水管网畅通服务方案，对上述两项方案内容的合理性、完整性、可行性分别进行评审，以上两项内容完整，均进行详细阐述且满足采购需求，得6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根据供应商提供的应急管理措施，内容应包括但不限于：①针对大型活动的应急预案；②针对突发状况、恶劣天气等情况的应急预案；③应急作业人员的调配及应急车辆、设备的配置方案，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供应商近三年（2022年01月至投标截止时间）的类似服务业绩情况，有一个得1分，最多得6分。 注：1、时间以合同签订日期为准； 2、类似业绩：与环卫或保洁或清洁服务类似的项目业绩； 3、投标文件中须提供合同原件的扫描件，未提供或原件的扫描件不清晰不得分。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供应商针对本项目的服务承诺0-1分、服务体系0-1分、质量标准0-1分、服务范围及商务、技术要求0-1分，服务承诺应详细、完善、全面， 未提供承诺不得分，本项最高得4分。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针对本项目特点，根据供应商提供的整体服务方案，包括但不限于：①清扫保洁服务标准；②服务工作范围与计划；③杂草、积土、垃圾清运方案；④公用设施维护管理；⑤对本项目工作中的重点、难点分析及应对措施，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根据供应商提供的服务质量保障方案，内容应包括但不限于：①质量管理目标；②质量控制计划；③质量责任体系；④质量管理措施；⑤质量监督与检验，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供应商提供的安全管理体系与措施方案，内容应包括但不限于：①安全作业管理制度；②安全文明作业方案；③设施设备安全检查方案；④安全事故处理方法，对上述四项方案内容的合理性、完整性、可行性分别进行评审，以上四项内容完整，均进行详细阐述且满足采购需求，得12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供应商提供的环境保护管理体系与措施进行评审，内容包括但不限于：①环境保护目标；②环境保护管理措施；③污染物处理及排放，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进度保证体系及措施</w:t>
            </w:r>
          </w:p>
        </w:tc>
        <w:tc>
          <w:tcPr>
            <w:tcW w:type="dxa" w:w="3115"/>
          </w:tcPr>
          <w:p>
            <w:pPr>
              <w:pStyle w:val="null5"/>
              <w:jc w:val="left"/>
            </w:pPr>
            <w:r>
              <w:rPr>
                <w:rFonts w:ascii="仿宋_GB2312" w:hAnsi="仿宋_GB2312" w:cs="仿宋_GB2312" w:eastAsia="仿宋_GB2312"/>
              </w:rPr>
              <w:t>根据供应商提供的进度保证体系及措施方案，内容应包括但不限于：①作业进度计划安排；②进度保证措施，对上述两项方案内容的合理性、完整性、可行性分别进行评审，以上两项内容完整，均进行详细阐述且满足采购需求，得6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供应商提供的资源配备计划进行评审，内容包括但不限于：①保洁清扫工具配备管理计划；②安全防护用品配备管理方案；③拟投入劳动力管理计划；④作业车辆配备计划及管理方案，对上述四项方案内容的合理性、完整性、可行性分别进行评审，以上三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根据供应商提供的项目机构管理方案进行评审，内容包括但不限于：①项目管理机构设置及规章制度；②人员能力③人员管理方案及职责的划分，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根据供应商提供的特殊季节保障措施进行评审，内容包括但不限于：①冬季清雪除冰服务方案；②雨季清除路面积水，保障雨水管网畅通服务方案，对上述两项方案内容的合理性、完整性、可行性分别进行评审，以上两项内容完整，均进行详细阐述且满足采购需求，得6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根据供应商提供的应急管理措施，内容应包括但不限于：①针对大型活动的应急预案；②针对突发状况、恶劣天气等情况的应急预案；③应急作业人员的调配及应急车辆、设备的配置方案，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供应商近三年（2022年01月至投标截止时间）的类似服务业绩情况，有一个得2分，最多得4分。 注：1、时间以合同签订日期为准； 2、类似业绩：与环卫或保洁或清洁服务类似的项目业绩； 3、投标文件中须提供合同原件的扫描件，未提供或原件的扫描件不清晰不得分。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供应商针对本项目的服务承诺0-1.5分、服务体系0-1.5分、质量标准0-1.5分、服务范围及商务、技术要求0-1.5分，服务承诺应详细、完善、全面， 未提供承诺不得分，本项最高得6分。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