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640B8">
      <w:pPr>
        <w:pStyle w:val="4"/>
        <w:keepNext w:val="0"/>
        <w:keepLines w:val="0"/>
        <w:widowControl/>
        <w:numPr>
          <w:numId w:val="0"/>
        </w:numPr>
        <w:suppressLineNumbers w:val="0"/>
        <w:shd w:val="clear" w:color="auto" w:fill="FFFFFF"/>
        <w:spacing w:before="0" w:beforeAutospacing="0" w:after="0" w:afterAutospacing="0" w:line="555" w:lineRule="atLeast"/>
        <w:ind w:leftChars="0" w:right="0" w:rightChars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附件</w:t>
      </w:r>
      <w:bookmarkStart w:id="0" w:name="_GoBack"/>
      <w:bookmarkEnd w:id="0"/>
    </w:p>
    <w:p w14:paraId="497F757F">
      <w:pPr>
        <w:pStyle w:val="4"/>
        <w:keepNext w:val="0"/>
        <w:keepLines w:val="0"/>
        <w:widowControl/>
        <w:suppressLineNumbers w:val="0"/>
        <w:shd w:val="clear" w:color="auto" w:fill="FFFFFF"/>
        <w:spacing w:before="0" w:beforeAutospacing="0" w:after="0" w:afterAutospacing="0" w:line="555" w:lineRule="atLeast"/>
        <w:ind w:left="0" w:right="0" w:firstLine="0"/>
        <w:jc w:val="center"/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43"/>
          <w:szCs w:val="43"/>
          <w:shd w:val="clear" w:color="auto" w:fill="FFFFFF"/>
        </w:rPr>
      </w:pPr>
      <w:r>
        <w:rPr>
          <w:rFonts w:ascii="方正小标宋_GBK" w:hAnsi="方正小标宋_GBK" w:eastAsia="方正小标宋_GBK" w:cs="方正小标宋_GBK"/>
          <w:i w:val="0"/>
          <w:caps w:val="0"/>
          <w:color w:val="000000"/>
          <w:spacing w:val="0"/>
          <w:sz w:val="43"/>
          <w:szCs w:val="43"/>
          <w:shd w:val="clear" w:color="auto" w:fill="FFFFFF"/>
        </w:rPr>
        <w:t>内蒙古自治区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43"/>
          <w:szCs w:val="43"/>
          <w:shd w:val="clear" w:color="auto" w:fill="FFFFFF"/>
        </w:rPr>
        <w:t>统计领域不予处罚清单</w:t>
      </w:r>
    </w:p>
    <w:tbl>
      <w:tblPr>
        <w:tblStyle w:val="5"/>
        <w:tblW w:w="14447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55"/>
        <w:gridCol w:w="6565"/>
        <w:gridCol w:w="5027"/>
      </w:tblGrid>
      <w:tr w14:paraId="3CBDB2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4" w:hRule="atLeast"/>
          <w:jc w:val="center"/>
        </w:trPr>
        <w:tc>
          <w:tcPr>
            <w:tcW w:w="2855" w:type="dxa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6DBB68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ascii="黑体" w:hAnsi="宋体" w:eastAsia="黑体" w:cs="黑体"/>
                <w:i w:val="0"/>
                <w:caps w:val="0"/>
                <w:color w:val="000000"/>
                <w:spacing w:val="0"/>
                <w:sz w:val="24"/>
                <w:szCs w:val="24"/>
              </w:rPr>
              <w:t>违法行为</w:t>
            </w:r>
          </w:p>
        </w:tc>
        <w:tc>
          <w:tcPr>
            <w:tcW w:w="6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5E261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</w:pPr>
            <w:r>
              <w:rPr>
                <w:rFonts w:hint="eastAsia" w:ascii="黑体" w:hAnsi="宋体" w:eastAsia="黑体" w:cs="黑体"/>
                <w:i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处罚</w:t>
            </w:r>
            <w:r>
              <w:rPr>
                <w:rFonts w:hint="eastAsia" w:ascii="黑体" w:hAnsi="宋体" w:eastAsia="黑体" w:cs="黑体"/>
                <w:i w:val="0"/>
                <w:caps w:val="0"/>
                <w:color w:val="000000"/>
                <w:spacing w:val="0"/>
                <w:sz w:val="24"/>
                <w:szCs w:val="24"/>
              </w:rPr>
              <w:t>依据</w:t>
            </w:r>
          </w:p>
        </w:tc>
        <w:tc>
          <w:tcPr>
            <w:tcW w:w="50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D7987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="黑体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caps w:val="0"/>
                <w:color w:val="000000"/>
                <w:spacing w:val="0"/>
                <w:sz w:val="24"/>
                <w:szCs w:val="24"/>
              </w:rPr>
              <w:t>不予行政处罚的</w:t>
            </w:r>
            <w:r>
              <w:rPr>
                <w:rFonts w:hint="eastAsia" w:ascii="黑体" w:hAnsi="宋体" w:eastAsia="黑体" w:cs="黑体"/>
                <w:i w:val="0"/>
                <w:caps w:val="0"/>
                <w:color w:val="000000"/>
                <w:spacing w:val="0"/>
                <w:sz w:val="24"/>
                <w:szCs w:val="24"/>
                <w:lang w:eastAsia="zh-CN"/>
              </w:rPr>
              <w:t>适用条件</w:t>
            </w:r>
          </w:p>
        </w:tc>
      </w:tr>
      <w:tr w14:paraId="5C50C5C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19" w:hRule="atLeast"/>
          <w:jc w:val="center"/>
        </w:trPr>
        <w:tc>
          <w:tcPr>
            <w:tcW w:w="2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438D85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</w:pPr>
            <w:r>
              <w:rPr>
                <w:rFonts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统计调查对象提供不真实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或者不完整的统计资料的</w:t>
            </w:r>
          </w:p>
        </w:tc>
        <w:tc>
          <w:tcPr>
            <w:tcW w:w="65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24E1F4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 w:firstLine="422" w:firstLineChars="200"/>
              <w:jc w:val="left"/>
              <w:textAlignment w:val="center"/>
              <w:outlineLvl w:val="9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《中华人民共和国统计法》第四十四条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：作为统计调查对象的国家机关、企业事业单位或者其他组织有下列行为之一的，由县级以上人民政府统计机构责令改正，给予警告，可以予以通报；其负有责任的领导人员和直接责任人员属于公职人员的，由任免机关、单位或者监察机关依法给予处分：（二）提供不真实或者不完整的统计资料的；</w:t>
            </w:r>
          </w:p>
          <w:p w14:paraId="494019A9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 w:firstLine="420" w:firstLineChars="200"/>
              <w:jc w:val="left"/>
              <w:textAlignment w:val="center"/>
              <w:outlineLvl w:val="9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企业事业单位或者其他组织有前款所列行为之一的，可以并处十万元以下的罚款；情节严重的，并处十万元以上五十万元以下的罚款。个体工商户有本条第一款所列行为之一的，由县级以上人民政府统计机构责令改正，给予警告，可以并处一万元以下的罚款。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br w:type="textWrapping"/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仿宋_GB2312" w:hAnsi="微软雅黑" w:eastAsia="仿宋_GB2312" w:cs="仿宋_GB2312"/>
                <w:b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2.</w:t>
            </w: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《中华人民共和国行政处罚法》第三十三条第一款：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违法行为轻微并及时改正，没有造成危害后果的，不予行政处罚。初次违法且危害后果轻微并及时改正的，可以不予行政处罚。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br w:type="textWrapping"/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仿宋_GB2312" w:hAnsi="微软雅黑" w:eastAsia="仿宋_GB2312" w:cs="仿宋_GB2312"/>
                <w:b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3.</w:t>
            </w: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《内蒙古自治区统计行政处罚裁量基准》第十五条：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具有下列情形之一的，不予或者可以不予行政处罚：（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）统计违法行为轻微并及时改正，没有造成危害后果的，不予行政处罚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，有关指标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具体适用见《内蒙古自治区统计领域不予处罚清单》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；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（二）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统计违法行为当事人有证据足以证明没有主观过错，没有造成危害后果的，不予行政处罚；（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三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）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新入库企业二年内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首次发现违法行为且危害后果轻微并及时改正的，可以不予行政处罚；（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）除法律另有规定外，统计违法行为在二年内未被发现的，不再给予行政处罚；（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五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）法律、法规、规章规定不予行政处罚的其他情形。</w:t>
            </w:r>
          </w:p>
          <w:p w14:paraId="52194A4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 w:firstLine="420" w:firstLineChars="200"/>
              <w:jc w:val="left"/>
              <w:textAlignment w:val="center"/>
              <w:outlineLvl w:val="9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前款第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四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项的二年期限从违法行为发生之日起计算，违法行为有连续或者继续状态的，从行为终了之日起计算。</w:t>
            </w:r>
          </w:p>
          <w:p w14:paraId="5549636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20"/>
              <w:jc w:val="left"/>
              <w:textAlignment w:val="center"/>
              <w:outlineLvl w:val="9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对当事人的违法行为不予行政处罚的，行政机关应当对当事人进行教育。</w:t>
            </w:r>
          </w:p>
          <w:p w14:paraId="14E2ADF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20"/>
              <w:jc w:val="left"/>
              <w:textAlignment w:val="center"/>
              <w:outlineLvl w:val="9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仿宋_GB2312" w:hAnsi="微软雅黑" w:eastAsia="仿宋_GB2312" w:cs="仿宋_GB2312"/>
                <w:b/>
                <w:bCs/>
                <w:i w:val="0"/>
                <w:caps w:val="0"/>
                <w:color w:val="000000"/>
                <w:spacing w:val="0"/>
                <w:sz w:val="21"/>
                <w:szCs w:val="21"/>
              </w:rPr>
              <w:t>第二十条：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（六）没有造成危害后果”是指违法行为已经发生但未对国家利益、统计工作、统计数据、第三方利益等任何一项造成实际损害；</w:t>
            </w:r>
          </w:p>
          <w:p w14:paraId="59EDAED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20"/>
              <w:jc w:val="left"/>
              <w:textAlignment w:val="center"/>
              <w:outlineLvl w:val="9"/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（七）“危害后果轻微”是指统计违法行为已经发生且对国家利益、统计工作、统计数据、第三方利益等某一项或者多项造成实际损害，损害范围较窄、程度较轻或者负面影响较小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50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440D75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20" w:firstLineChars="200"/>
              <w:jc w:val="both"/>
              <w:textAlignment w:val="center"/>
              <w:outlineLvl w:val="9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提供不真实或者不完整的统计资料，具有以下情形的，违法行为轻微并及时纠正，没有造成危害后果的，不予行政处罚。</w:t>
            </w:r>
          </w:p>
          <w:p w14:paraId="4F45DA34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20" w:firstLineChars="200"/>
              <w:jc w:val="both"/>
              <w:textAlignment w:val="center"/>
              <w:outlineLvl w:val="9"/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通过自查发现问题或统计机构工作人员核实、查询指出问题的，利用关网前可以修订数据的机会，主动与统计机构工作人员沟通联系，及时在联网直报平台上改正数据，没有造成危害后果的。</w:t>
            </w:r>
          </w:p>
          <w:p w14:paraId="031E92D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20" w:firstLineChars="200"/>
              <w:jc w:val="both"/>
              <w:textAlignment w:val="center"/>
              <w:outlineLvl w:val="9"/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 2.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提供不真实或者不完整的统计资料，具有以下情形之一的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,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初次违法且危害后果轻微并及时改正的，不予行政处罚。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  </w:t>
            </w:r>
            <w:r>
              <w:rPr>
                <w:rFonts w:hint="eastAsia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）失实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率在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5%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以下且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失实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数额在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1000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万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元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以下的不予行政处罚；</w:t>
            </w:r>
          </w:p>
          <w:p w14:paraId="179047D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05"/>
              <w:jc w:val="both"/>
              <w:textAlignment w:val="center"/>
              <w:outlineLvl w:val="9"/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）失实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率在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5%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以上且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失实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数额在以下额度范围内的不予行政处罚：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br w:type="textWrapping"/>
            </w:r>
            <w:r>
              <w:rPr>
                <w:rFonts w:hint="eastAsia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 </w:t>
            </w:r>
            <w:r>
              <w:rPr>
                <w:rStyle w:val="7"/>
                <w:rFonts w:hint="eastAsia" w:ascii="仿宋_GB2312" w:hAnsi="Times New Roman" w:eastAsia="仿宋_GB2312" w:cs="仿宋_GB2312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规上工业：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工业总产值低于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00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万元、营业收入低于</w:t>
            </w:r>
            <w:r>
              <w:rPr>
                <w:rFonts w:hint="eastAsia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00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万元、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利润总额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低于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20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0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万元；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br w:type="textWrapping"/>
            </w:r>
            <w:r>
              <w:rPr>
                <w:rFonts w:hint="eastAsia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Style w:val="7"/>
                <w:rFonts w:hint="eastAsia" w:ascii="仿宋_GB2312" w:hAnsi="Times New Roman" w:eastAsia="仿宋_GB2312" w:cs="仿宋_GB2312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固定资产投资：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本年完成投资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低于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500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万元；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br w:type="textWrapping"/>
            </w:r>
            <w:r>
              <w:rPr>
                <w:rFonts w:hint="eastAsia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Style w:val="7"/>
                <w:rFonts w:hint="eastAsia" w:ascii="仿宋_GB2312" w:hAnsi="Times New Roman" w:eastAsia="仿宋_GB2312" w:cs="仿宋_GB2312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建筑业：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建筑业总产值低于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00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万元；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br w:type="textWrapping"/>
            </w:r>
            <w:r>
              <w:rPr>
                <w:rFonts w:hint="eastAsia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Style w:val="7"/>
                <w:rFonts w:hint="eastAsia" w:ascii="仿宋_GB2312" w:hAnsi="Times New Roman" w:eastAsia="仿宋_GB2312" w:cs="仿宋_GB2312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房地产业：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商品房销售面积低于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2000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平方米；</w:t>
            </w:r>
          </w:p>
          <w:p w14:paraId="51CFEB0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05"/>
              <w:textAlignment w:val="center"/>
              <w:outlineLvl w:val="9"/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7"/>
                <w:rFonts w:hint="eastAsia" w:ascii="仿宋_GB2312" w:hAnsi="Times New Roman" w:eastAsia="仿宋_GB2312" w:cs="仿宋_GB2312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限上批发业：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商品销售额低于</w:t>
            </w:r>
            <w:r>
              <w:rPr>
                <w:rFonts w:hint="eastAsia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00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万元；</w:t>
            </w:r>
          </w:p>
          <w:p w14:paraId="5B9DE80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05"/>
              <w:textAlignment w:val="center"/>
              <w:outlineLvl w:val="9"/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7"/>
                <w:rFonts w:hint="eastAsia" w:ascii="仿宋_GB2312" w:hAnsi="Times New Roman" w:eastAsia="仿宋_GB2312" w:cs="仿宋_GB2312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限上零售业：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商品销售额低于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200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万元；</w:t>
            </w:r>
          </w:p>
          <w:p w14:paraId="5AA17F9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05"/>
              <w:textAlignment w:val="center"/>
              <w:outlineLvl w:val="9"/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7"/>
                <w:rFonts w:hint="eastAsia" w:ascii="仿宋_GB2312" w:hAnsi="Times New Roman" w:eastAsia="仿宋_GB2312" w:cs="仿宋_GB2312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限上住宿餐饮业：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营业额低于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100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万元；</w:t>
            </w:r>
          </w:p>
          <w:p w14:paraId="090F4F9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05"/>
              <w:textAlignment w:val="center"/>
              <w:outlineLvl w:val="9"/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7"/>
                <w:rFonts w:hint="eastAsia" w:ascii="仿宋_GB2312" w:hAnsi="Times New Roman" w:eastAsia="仿宋_GB2312" w:cs="仿宋_GB2312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规上服务业：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应付职工薪酬低于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0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万元、应交增值税低于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2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0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万元、营业收入低于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100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万元、本年折旧低于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100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万元、营业利润低于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100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万元；</w:t>
            </w:r>
          </w:p>
          <w:p w14:paraId="2392A72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05"/>
              <w:textAlignment w:val="center"/>
              <w:outlineLvl w:val="9"/>
              <w:rPr>
                <w:rFonts w:hint="eastAsia" w:ascii="仿宋_GB2312" w:hAnsi="Times New Roman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Style w:val="7"/>
                <w:rFonts w:hint="eastAsia" w:ascii="仿宋_GB2312" w:hAnsi="Times New Roman" w:eastAsia="仿宋_GB2312" w:cs="仿宋_GB2312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能源：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原煤产量低于</w:t>
            </w:r>
            <w:r>
              <w:rPr>
                <w:rFonts w:hint="default" w:ascii="Times New Roman" w:hAnsi="Times New Roman" w:eastAsia="仿宋_GB2312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10000</w:t>
            </w:r>
            <w:r>
              <w:rPr>
                <w:rFonts w:hint="eastAsia" w:ascii="仿宋_GB2312" w:hAnsi="微软雅黑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吨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；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br w:type="textWrapping"/>
            </w:r>
            <w:r>
              <w:rPr>
                <w:rFonts w:hint="eastAsia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Style w:val="7"/>
                <w:rFonts w:hint="eastAsia" w:ascii="仿宋_GB2312" w:hAnsi="Times New Roman" w:eastAsia="仿宋_GB2312" w:cs="仿宋_GB2312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劳动工资：</w:t>
            </w: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调查单位当季从业人员工资总额小于等于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50</w:t>
            </w: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万元的，</w:t>
            </w: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失实</w:t>
            </w: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率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10%</w:t>
            </w: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以下或者</w:t>
            </w: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失实</w:t>
            </w: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额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10</w:t>
            </w: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万元以下；调查单位当季从业人员工资总额大于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50</w:t>
            </w: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万元的，</w:t>
            </w: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失实</w:t>
            </w: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率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10%</w:t>
            </w: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以下或者</w:t>
            </w: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lang w:eastAsia="zh-CN"/>
              </w:rPr>
              <w:t>失实</w:t>
            </w: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额</w:t>
            </w:r>
            <w:r>
              <w:rPr>
                <w:rFonts w:hint="default" w:ascii="Times New Roman" w:hAnsi="Times New Roman" w:eastAsia="仿宋_GB2312" w:cs="Times New Roman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40</w:t>
            </w:r>
            <w:r>
              <w:rPr>
                <w:rFonts w:hint="eastAsia" w:ascii="仿宋_GB2312" w:hAnsi="微软雅黑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万元以下</w:t>
            </w:r>
            <w:r>
              <w:rPr>
                <w:rFonts w:hint="eastAsia" w:ascii="仿宋_GB2312" w:hAnsi="Times New Roman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  <w:t>；</w:t>
            </w:r>
          </w:p>
          <w:p w14:paraId="6026E4C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405"/>
              <w:textAlignment w:val="center"/>
              <w:outlineLvl w:val="9"/>
            </w:pP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 </w:t>
            </w:r>
            <w:r>
              <w:rPr>
                <w:rStyle w:val="7"/>
                <w:rFonts w:hint="eastAsia" w:ascii="仿宋_GB2312" w:hAnsi="Times New Roman" w:eastAsia="仿宋_GB2312" w:cs="仿宋_GB2312"/>
                <w:b/>
                <w:i w:val="0"/>
                <w:caps w:val="0"/>
                <w:color w:val="000000"/>
                <w:spacing w:val="0"/>
                <w:sz w:val="21"/>
                <w:szCs w:val="21"/>
              </w:rPr>
              <w:t>企业研发：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研究开发费用合计低于</w:t>
            </w:r>
            <w:r>
              <w:rPr>
                <w:rFonts w:hint="default" w:ascii="Times New Roman" w:hAnsi="Times New Roman" w:eastAsia="微软雅黑" w:cs="Times New Roman"/>
                <w:i w:val="0"/>
                <w:caps w:val="0"/>
                <w:color w:val="000000"/>
                <w:spacing w:val="0"/>
                <w:sz w:val="21"/>
                <w:szCs w:val="21"/>
              </w:rPr>
              <w:t>50</w:t>
            </w:r>
            <w:r>
              <w:rPr>
                <w:rFonts w:hint="eastAsia" w:ascii="仿宋_GB2312" w:hAnsi="Times New Roman" w:eastAsia="仿宋_GB2312" w:cs="仿宋_GB2312"/>
                <w:i w:val="0"/>
                <w:caps w:val="0"/>
                <w:color w:val="000000"/>
                <w:spacing w:val="0"/>
                <w:sz w:val="21"/>
                <w:szCs w:val="21"/>
              </w:rPr>
              <w:t>万元。</w:t>
            </w:r>
          </w:p>
        </w:tc>
      </w:tr>
    </w:tbl>
    <w:p w14:paraId="5B26938C">
      <w:pPr>
        <w:pStyle w:val="2"/>
      </w:pPr>
    </w:p>
    <w:p w14:paraId="3F1FA93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CDD7C8A-7190-4BB3-B382-15BBEAD880A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D1566B26-0AAE-4E37-AA0B-38955CEFAEA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520B356C-BBEF-4EE1-AD6F-E6A7A16BEF95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71C15919-3403-4361-8ADD-DC6D99B9C656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5" w:fontKey="{DDDD536E-3103-4780-B365-3AA2E0D2DA4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505FAC"/>
    <w:rsid w:val="7D50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jc w:val="both"/>
    </w:pPr>
    <w:rPr>
      <w:rFonts w:ascii="Calibri" w:hAnsi="Calibri" w:eastAsia="仿宋_GB2312" w:cs="Times New Roman"/>
      <w:kern w:val="2"/>
      <w:sz w:val="28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line="240" w:lineRule="auto"/>
    </w:pPr>
    <w:rPr>
      <w:rFonts w:ascii="Calibri" w:hAnsi="Calibri" w:eastAsia="宋体" w:cs="Times New Roman"/>
      <w:sz w:val="21"/>
      <w:szCs w:val="24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 w:line="240" w:lineRule="auto"/>
      <w:ind w:left="0" w:right="0"/>
      <w:jc w:val="left"/>
    </w:pPr>
    <w:rPr>
      <w:rFonts w:eastAsia="宋体"/>
      <w:kern w:val="0"/>
      <w:sz w:val="24"/>
      <w:szCs w:val="24"/>
      <w:lang w:val="en-US" w:eastAsia="zh-CN" w:bidi="ar"/>
    </w:rPr>
  </w:style>
  <w:style w:type="character" w:styleId="7">
    <w:name w:val="Strong"/>
    <w:basedOn w:val="6"/>
    <w:qFormat/>
    <w:uiPriority w:val="0"/>
    <w:rPr>
      <w:rFonts w:ascii="Times New Roman" w:hAnsi="Times New Roman" w:eastAsia="宋体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2026-07-21T07:49:00Z</dcterms:created>
  <dc:creator>吕杨</dc:creator>
  <cp:lastModifiedBy>吕杨</cp:lastModifiedBy>
  <dcterms:modified xsi:type="dcterms:W3CDTF">2026-07-21T07:50:31Z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C40245B896284B819B9D719968DEA244_11</vt:lpwstr>
  </property>
  <property fmtid="{D5CDD505-2E9C-101B-9397-08002B2CF9AE}" pid="4" name="KSOTemplateDocerSaveRecord">
    <vt:lpwstr>eyJoZGlkIjoiNjM5MDNhYzliZWQ1ZDZmYmQ0NjRiN2Y1OWRiYzI5YTAiLCJ1c2VySWQiOiIxNzg0MDU1Mjk2In0=</vt:lpwstr>
  </property>
</Properties>
</file>